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0284C7"/>
          <w:sz w:val="18"/>
        </w:rPr>
        <w:t>GRUPO BLISSCORP · DIRECCIÓN DE TECNOLOGÍA</w:t>
        <w:br/>
      </w:r>
      <w:r>
        <w:rPr>
          <w:b/>
          <w:color w:val="0F172A"/>
          <w:sz w:val="36"/>
        </w:rPr>
        <w:t>Informe de Envío de Casos de Prueba al ERP Sea Fácil / Niuxpro</w:t>
      </w:r>
    </w:p>
    <w:p>
      <w:pPr>
        <w:spacing w:after="280"/>
      </w:pPr>
      <w:r>
        <w:t>Resumen ejecutivo y técnico del despacho de comprobantes reales vía API para validación del Registro de Compras, Anexos y Asientos Contables.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Empresa Destino: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BLISSCORP S.A.C. (Código de Empresa: 26 — Modo de Prueba)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Destinatarios: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Ing. Fernando Acosta (Niuxpro) / Equipo de Contabilidad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Remitente / Fecha: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Andree Mungi (TI BlissCorp) — 06 de Octubre de 2026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Resultado General: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11 Comprobantes Despachados con Éxito (100% Recibidos con HTTP 201)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b/>
          <w:color w:val="0F172A"/>
          <w:sz w:val="26"/>
        </w:rPr>
        <w:t>1. Evidencia de Recepción en Bandeja del ERP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1985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3160052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85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7"/>
        </w:rPr>
        <w:t>Figura 1: Vista de recepción del módulo Compras v1 en Niuxpro con los 11 comprobantes registrados.</w:t>
      </w:r>
    </w:p>
    <w:p>
      <w:pPr>
        <w:spacing w:before="160" w:after="80"/>
      </w:pPr>
      <w:r>
        <w:rPr>
          <w:b/>
          <w:color w:val="0F172A"/>
          <w:sz w:val="26"/>
        </w:rPr>
        <w:t>2. Matriz de Comprobantes Despachados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86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158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Comprobante</w:t>
            </w:r>
          </w:p>
        </w:tc>
        <w:tc>
          <w:tcPr>
            <w:tcW w:type="dxa" w:w="216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Proveedor / RUC</w:t>
            </w:r>
          </w:p>
        </w:tc>
        <w:tc>
          <w:tcPr>
            <w:tcW w:type="dxa" w:w="1296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Importe</w:t>
            </w:r>
          </w:p>
        </w:tc>
        <w:tc>
          <w:tcPr>
            <w:tcW w:type="dxa" w:w="1152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 / Esc.</w:t>
            </w:r>
          </w:p>
        </w:tc>
        <w:tc>
          <w:tcPr>
            <w:tcW w:type="dxa" w:w="86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 ERP</w:t>
            </w:r>
          </w:p>
        </w:tc>
        <w:tc>
          <w:tcPr>
            <w:tcW w:type="dxa" w:w="216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Observación / Tratamiento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 F001-0000002243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FREFRA S.A.C.</w:t>
              <w:br/>
              <w:t>20609165066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S/ 318.00</w:t>
              <w:br/>
              <w:t>(+31.80 P)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ATP / NAC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IGV 10.5% + Recargo S/ 21.47. Propina fuera de compras.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02A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 FFL1-0002517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CABIFY LOGISTICS</w:t>
              <w:br/>
              <w:t>20612973335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S/ 328.39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GEN / XML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Recurrente (1/2). Con XML + PDF. Tasa 18%, TR.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02B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 FE01-00000111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CABIFY LOGISTICS</w:t>
              <w:br/>
              <w:t>20612973335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S/ 4,744.07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GEN / NAC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Recurrente (2/2). Con PDF. Mismo emisor para aprendizaje.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05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 F004-00010092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TOYOTA DEL PERU</w:t>
              <w:br/>
              <w:t>20100132592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US$ 835.44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MOV / NAC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Validado (VA). Tasa 18%. Aplica T/C oficial SUNAT.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06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 E001-00000702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DIDACTICA CREATIVA</w:t>
              <w:br/>
              <w:t>20603222921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S/ 1,168.20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GEN / XML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Al crédito (LC). Vencimiento informado: 24/10/2026.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07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 FE01-00000112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CABIFY LOGISTICS</w:t>
              <w:br/>
              <w:t>20612973335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S/ 8,608.90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GEN / NAC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Detracción 4% (cód. 027 S/ 344.36, cuenta BN). Crédito diferido.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08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BV B003-00069810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Pokeboss Pokeboss</w:t>
              <w:br/>
              <w:t>20603962801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S/ 160.00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GEN / NAC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Boleta tipo 03. Destino RCS sin crédito fiscal.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 F041-00027050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INVERSIONES BRADE</w:t>
              <w:br/>
              <w:t>20303972821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S/ 80.80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ATP / NAC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Proveedor nuevo no registrado. Valida contra padrón SUNAT.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CND E080-10DBVA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Microsoft Corp.</w:t>
              <w:br/>
              <w:t>91-1144442 (US)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US$ 48.53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GEN / EXT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Exterior no domiciliado (tipo 91). Inafecto. Tax ID TAX.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 F003-00003165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Calua S.A.C.</w:t>
              <w:br/>
              <w:t>20607924946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S/ 91.60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GEN / NAC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Multilínea: L1 Gravada (S/ 60.00) + L2 Inafecta (S/ 20.80).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FAC FFL1-0002517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CABIFY LOGISTICS</w:t>
              <w:br/>
              <w:t>20612973335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sz w:val="17"/>
              </w:rPr>
              <w:t>S/ 328.39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GEN / XML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Duplicado: Mismo comprobante con UUID distinto. Alerta detectada.</w:t>
            </w:r>
          </w:p>
        </w:tc>
      </w:tr>
    </w:tbl>
    <w:p>
      <w:pPr>
        <w:spacing w:after="240"/>
      </w:pPr>
    </w:p>
    <w:p>
      <w:pPr>
        <w:spacing w:before="160" w:after="80"/>
      </w:pPr>
      <w:r>
        <w:rPr>
          <w:b/>
          <w:color w:val="0F172A"/>
          <w:sz w:val="26"/>
        </w:rPr>
        <w:t>3. Detalle Técnico de Casuísticas Relevantes</w:t>
      </w:r>
    </w:p>
    <w:p>
      <w:pPr>
        <w:spacing w:before="80" w:after="80"/>
      </w:pPr>
      <w:r>
        <w:rPr>
          <w:b/>
          <w:color w:val="0284C7"/>
        </w:rPr>
        <w:t xml:space="preserve">• Caso 01 — Restaurante con Recargo al Consumo y Propina: </w:t>
      </w:r>
      <w:r>
        <w:rPr>
          <w:sz w:val="19"/>
        </w:rPr>
        <w:t>Comprobante FREFRA S.A.C. (F001-0000002243). Base gravada S/ 268.35, IGV al 10.5% (S/ 28.18) y Recargo al Consumo (S/ 21.47), totalizando S/ 318.00 en el comprobante fiscal. La propina de S/ 31.80 fue enviada en su campo independiente con voucher adjunto. El ERP registró la observación exacta: 'Propina fuera del comprobante: no entra al registro de compras', cumpliendo la Quinta Disposición Complementaria del Decreto Ley N° 25988.</w:t>
      </w:r>
    </w:p>
    <w:p>
      <w:pPr>
        <w:spacing w:before="80" w:after="80"/>
      </w:pPr>
      <w:r>
        <w:rPr>
          <w:b/>
          <w:color w:val="0284C7"/>
        </w:rPr>
        <w:t xml:space="preserve">• Caso 05 — Factura en Dólares (USD): </w:t>
      </w:r>
      <w:r>
        <w:rPr>
          <w:sz w:val="19"/>
        </w:rPr>
        <w:t>Factura electrónica Toyota del Perú (F004-00010092) por US$ 835.44 (Base US$ 708.00 + IGV US$ 127.44). Aceptada en estado Validado (VA). El ERP toma el tipo de cambio venta oficial SUNAT publicado a la fecha de emisión (16/09/2026) sin depender del integrador.</w:t>
      </w:r>
    </w:p>
    <w:p>
      <w:pPr>
        <w:spacing w:before="80" w:after="80"/>
      </w:pPr>
      <w:r>
        <w:rPr>
          <w:b/>
          <w:color w:val="0284C7"/>
        </w:rPr>
        <w:t xml:space="preserve">• Caso 06 — Compra al Crédito con Vencimiento: </w:t>
      </w:r>
      <w:r>
        <w:rPr>
          <w:sz w:val="19"/>
        </w:rPr>
        <w:t>Factura Didáctica Creativa (E001-00000702) por S/ 1,168.20. Se declaró forma_pago 'LC' (crédito) y fecha_vencimiento '2026-10-24' extraída del XML UBL, permitiendo su incorporación inmediata a la cuenta corriente del proveedor y programación de pagos.</w:t>
      </w:r>
    </w:p>
    <w:p>
      <w:pPr>
        <w:spacing w:before="80" w:after="80"/>
      </w:pPr>
      <w:r>
        <w:rPr>
          <w:b/>
          <w:color w:val="0284C7"/>
        </w:rPr>
        <w:t xml:space="preserve">• Caso 07 — Factura Sujeta a Detracción SPOT: </w:t>
      </w:r>
      <w:r>
        <w:rPr>
          <w:sz w:val="19"/>
        </w:rPr>
        <w:t>Factura Cabify Logistics (FE01-00000112) por S/ 8,608.90. Se informó bloque de detracción código 027 (Servicio de transporte de carga), porcentaje 4.00% (S/ 344.36), cuenta BN y valor referencial. El ERP registró la anotación tributaria: 'Detracción sin depósito acreditado; el crédito fiscal se difiere al período del depósito'.</w:t>
      </w:r>
    </w:p>
    <w:p>
      <w:pPr>
        <w:spacing w:before="80" w:after="80"/>
      </w:pPr>
      <w:r>
        <w:rPr>
          <w:b/>
          <w:color w:val="0284C7"/>
        </w:rPr>
        <w:t xml:space="preserve">• Caso 08 — Boleta de Venta sin Crédito Fiscal: </w:t>
      </w:r>
      <w:r>
        <w:rPr>
          <w:sz w:val="19"/>
        </w:rPr>
        <w:t>Boleta Pokeboss (B003-00069810) por S/ 160.00. El ERP la clasificó automáticamente hacia destino 'RCS' (Registro de Compras sin Crédito Fiscal), con credito_fiscal 'N' y deducible 'S'.</w:t>
      </w:r>
    </w:p>
    <w:p>
      <w:pPr>
        <w:spacing w:before="80" w:after="80"/>
      </w:pPr>
      <w:r>
        <w:rPr>
          <w:b/>
          <w:color w:val="0284C7"/>
        </w:rPr>
        <w:t xml:space="preserve">• Caso 11 — Comprobante de No Domiciliado (EXT): </w:t>
      </w:r>
      <w:r>
        <w:rPr>
          <w:sz w:val="19"/>
        </w:rPr>
        <w:t>Invoice Microsoft Corporation (E080-10DBVA) por US$ 48.53. Declarado en escenario EXT con tipo '91', importe clasificado íntegramente como inafecto (sin IGV) e identificado con tipo_documento TAX y país US.</w:t>
      </w:r>
    </w:p>
    <w:p>
      <w:pPr>
        <w:spacing w:before="80" w:after="80"/>
      </w:pPr>
      <w:r>
        <w:rPr>
          <w:b/>
          <w:color w:val="0284C7"/>
        </w:rPr>
        <w:t xml:space="preserve">• Caso 13 — Control de Idempotencia y Duplicados: </w:t>
      </w:r>
      <w:r>
        <w:rPr>
          <w:sz w:val="19"/>
        </w:rPr>
        <w:t>Se reenvió la factura Cabify FFL1-0002517 con UUID diferente ('RG-TEST-13-DUPLICADO-FFL1'). El ERP detectó la coincidencia por emisor, tipo, serie y correlativo, generando el comprobante con la observación: 'El mismo comprobante ya fue recibido antes por esta API'.</w:t>
      </w:r>
    </w:p>
    <w:p>
      <w:pPr>
        <w:spacing w:after="200"/>
      </w:pPr>
    </w:p>
    <w:p>
      <w:pPr>
        <w:spacing w:before="160" w:after="80"/>
      </w:pPr>
      <w:r>
        <w:rPr>
          <w:b/>
          <w:color w:val="0F172A"/>
          <w:sz w:val="26"/>
        </w:rPr>
        <w:t>4. Casuísticas Omitidas (Según Criterio del Alcance)</w:t>
      </w:r>
    </w:p>
    <w:p>
      <w:pPr>
        <w:spacing w:before="60" w:after="60"/>
      </w:pPr>
      <w:r>
        <w:rPr>
          <w:b/>
          <w:color w:val="64748B"/>
        </w:rPr>
        <w:t xml:space="preserve">– Recibo de Servicios Públicos (Tipo 14): </w:t>
      </w:r>
      <w:r>
        <w:rPr>
          <w:sz w:val="19"/>
        </w:rPr>
        <w:t>En las rendiciones de gastos y buzón de proveedores de setiembre/octubre no se registraron recibos de luz, agua o telefonía (Sedapal, Enel, Claro, etc.).</w:t>
      </w:r>
    </w:p>
    <w:p>
      <w:pPr>
        <w:spacing w:before="60" w:after="60"/>
      </w:pPr>
      <w:r>
        <w:rPr>
          <w:b/>
          <w:color w:val="64748B"/>
        </w:rPr>
        <w:t xml:space="preserve">– Documento Bancario por Comisiones (Tipo 13): </w:t>
      </w:r>
      <w:r>
        <w:rPr>
          <w:sz w:val="19"/>
        </w:rPr>
        <w:t>En el sistema se gestionan vouchers de transferencias/desembolsos (pagos a colaboradores), pero no se cuenta con estados de cuenta o liquidaciones de comisiones bancarias tipo 13 como gasto rendido.</w:t>
      </w:r>
    </w:p>
    <w:p>
      <w:pPr>
        <w:spacing w:before="60" w:after="60"/>
      </w:pPr>
      <w:r>
        <w:rPr>
          <w:b/>
          <w:color w:val="64748B"/>
        </w:rPr>
        <w:t xml:space="preserve">– Detracción con Constancia de Depósito Acreditada (7B): </w:t>
      </w:r>
      <w:r>
        <w:rPr>
          <w:sz w:val="19"/>
        </w:rPr>
        <w:t>Se cubrió el Caso 7A (factura con cálculo SPOT y cuenta BN). La variante con constancia de pago acreditada se omitió al no disponerse del ticket de depósito bancario asociado.</w:t>
      </w:r>
    </w:p>
    <w:p>
      <w:pPr>
        <w:spacing w:before="60" w:after="60"/>
      </w:pPr>
      <w:r>
        <w:rPr>
          <w:b/>
          <w:color w:val="64748B"/>
        </w:rPr>
        <w:t xml:space="preserve">– Nota de Crédito (Tipo 07): </w:t>
      </w:r>
      <w:r>
        <w:rPr>
          <w:sz w:val="19"/>
        </w:rPr>
        <w:t>No existieron notas de crédito reales emitidas por proveedores en el período analizado.</w:t>
      </w:r>
    </w:p>
    <w:p>
      <w:pPr>
        <w:spacing w:before="320"/>
      </w:pPr>
      <w:r>
        <w:rPr>
          <w:i/>
          <w:sz w:val="19"/>
        </w:rPr>
        <w:t>Todos los envíos fueron validados con los archivos adjuntos exigidos y se encuentran disponibles para la sesión de trabajo con el equipo de Contabilidad.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