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C62AC" w14:textId="469EF986" w:rsidR="00BD276E" w:rsidRPr="00D40D31" w:rsidRDefault="005478C9" w:rsidP="005478C9">
      <w:pPr>
        <w:jc w:val="center"/>
        <w:rPr>
          <w:rFonts w:ascii="Times New Roman" w:hAnsi="Times New Roman" w:cs="Times New Roman"/>
          <w:b/>
          <w:bCs/>
        </w:rPr>
      </w:pPr>
      <w:r w:rsidRPr="00D40D31">
        <w:rPr>
          <w:rFonts w:ascii="Times New Roman" w:hAnsi="Times New Roman" w:cs="Times New Roman"/>
          <w:b/>
          <w:bCs/>
        </w:rPr>
        <w:t>Andree Salvo</w:t>
      </w:r>
    </w:p>
    <w:p w14:paraId="6E54568B" w14:textId="61D0E899" w:rsidR="005478C9" w:rsidRPr="00D40D31" w:rsidRDefault="005478C9" w:rsidP="005478C9">
      <w:pPr>
        <w:jc w:val="center"/>
        <w:rPr>
          <w:rFonts w:ascii="Times New Roman" w:hAnsi="Times New Roman" w:cs="Times New Roman"/>
          <w:b/>
          <w:bCs/>
        </w:rPr>
      </w:pPr>
      <w:r w:rsidRPr="00D40D31">
        <w:rPr>
          <w:rFonts w:ascii="Times New Roman" w:hAnsi="Times New Roman" w:cs="Times New Roman"/>
          <w:b/>
          <w:bCs/>
        </w:rPr>
        <w:t>Southern New Hampshire University</w:t>
      </w:r>
    </w:p>
    <w:p w14:paraId="6A3EAE03" w14:textId="76E090EF" w:rsidR="005478C9" w:rsidRPr="00D40D31" w:rsidRDefault="005478C9" w:rsidP="005478C9">
      <w:pPr>
        <w:jc w:val="center"/>
        <w:rPr>
          <w:rFonts w:ascii="Times New Roman" w:hAnsi="Times New Roman" w:cs="Times New Roman"/>
          <w:b/>
          <w:bCs/>
        </w:rPr>
      </w:pPr>
      <w:r w:rsidRPr="00D40D31">
        <w:rPr>
          <w:rFonts w:ascii="Times New Roman" w:hAnsi="Times New Roman" w:cs="Times New Roman"/>
          <w:b/>
          <w:bCs/>
        </w:rPr>
        <w:t>CYB 420</w:t>
      </w:r>
    </w:p>
    <w:p w14:paraId="0F7A8BEA" w14:textId="202520BB" w:rsidR="005478C9" w:rsidRPr="00D40D31" w:rsidRDefault="005478C9" w:rsidP="005478C9">
      <w:pPr>
        <w:jc w:val="center"/>
        <w:rPr>
          <w:rFonts w:ascii="Times New Roman" w:hAnsi="Times New Roman" w:cs="Times New Roman"/>
          <w:b/>
          <w:bCs/>
        </w:rPr>
      </w:pPr>
      <w:r w:rsidRPr="00D40D31">
        <w:rPr>
          <w:rFonts w:ascii="Times New Roman" w:hAnsi="Times New Roman" w:cs="Times New Roman"/>
          <w:b/>
          <w:bCs/>
        </w:rPr>
        <w:t>Instructor: William Mitchell</w:t>
      </w:r>
    </w:p>
    <w:p w14:paraId="14D83279" w14:textId="1797654C" w:rsidR="005478C9" w:rsidRPr="00D40D31" w:rsidRDefault="005478C9" w:rsidP="005478C9">
      <w:pPr>
        <w:jc w:val="center"/>
        <w:rPr>
          <w:rFonts w:ascii="Times New Roman" w:hAnsi="Times New Roman" w:cs="Times New Roman"/>
          <w:b/>
          <w:bCs/>
        </w:rPr>
      </w:pPr>
      <w:r w:rsidRPr="00D40D31">
        <w:rPr>
          <w:rFonts w:ascii="Times New Roman" w:hAnsi="Times New Roman" w:cs="Times New Roman"/>
          <w:b/>
          <w:bCs/>
        </w:rPr>
        <w:t>3-2 Activity: HIPAA Compliance and Security Posture</w:t>
      </w:r>
    </w:p>
    <w:p w14:paraId="2C53898C" w14:textId="1500AFB6" w:rsidR="005478C9" w:rsidRDefault="005478C9">
      <w:pPr>
        <w:rPr>
          <w:rFonts w:ascii="Times New Roman" w:hAnsi="Times New Roman" w:cs="Times New Roman"/>
          <w:b/>
          <w:bCs/>
          <w:u w:val="single"/>
        </w:rPr>
      </w:pPr>
      <w:r w:rsidRPr="005478C9">
        <w:rPr>
          <w:rFonts w:ascii="Times New Roman" w:hAnsi="Times New Roman" w:cs="Times New Roman"/>
          <w:b/>
          <w:bCs/>
          <w:u w:val="single"/>
        </w:rPr>
        <w:tab/>
      </w:r>
      <w:r w:rsidRPr="005478C9">
        <w:rPr>
          <w:rFonts w:ascii="Times New Roman" w:hAnsi="Times New Roman" w:cs="Times New Roman"/>
          <w:b/>
          <w:bCs/>
          <w:u w:val="single"/>
        </w:rPr>
        <w:tab/>
      </w:r>
      <w:r w:rsidRPr="005478C9">
        <w:rPr>
          <w:rFonts w:ascii="Times New Roman" w:hAnsi="Times New Roman" w:cs="Times New Roman"/>
          <w:b/>
          <w:bCs/>
          <w:u w:val="single"/>
        </w:rPr>
        <w:tab/>
      </w:r>
      <w:r w:rsidRPr="005478C9">
        <w:rPr>
          <w:rFonts w:ascii="Times New Roman" w:hAnsi="Times New Roman" w:cs="Times New Roman"/>
          <w:b/>
          <w:bCs/>
          <w:u w:val="single"/>
        </w:rPr>
        <w:tab/>
      </w:r>
      <w:r w:rsidRPr="005478C9">
        <w:rPr>
          <w:rFonts w:ascii="Times New Roman" w:hAnsi="Times New Roman" w:cs="Times New Roman"/>
          <w:b/>
          <w:bCs/>
          <w:u w:val="single"/>
        </w:rPr>
        <w:tab/>
      </w:r>
      <w:r w:rsidRPr="005478C9">
        <w:rPr>
          <w:rFonts w:ascii="Times New Roman" w:hAnsi="Times New Roman" w:cs="Times New Roman"/>
          <w:b/>
          <w:bCs/>
          <w:u w:val="single"/>
        </w:rPr>
        <w:tab/>
      </w:r>
      <w:r w:rsidRPr="005478C9">
        <w:rPr>
          <w:rFonts w:ascii="Times New Roman" w:hAnsi="Times New Roman" w:cs="Times New Roman"/>
          <w:b/>
          <w:bCs/>
          <w:u w:val="single"/>
        </w:rPr>
        <w:tab/>
      </w:r>
      <w:r w:rsidRPr="005478C9">
        <w:rPr>
          <w:rFonts w:ascii="Times New Roman" w:hAnsi="Times New Roman" w:cs="Times New Roman"/>
          <w:b/>
          <w:bCs/>
          <w:u w:val="single"/>
        </w:rPr>
        <w:tab/>
      </w:r>
      <w:r w:rsidRPr="005478C9">
        <w:rPr>
          <w:rFonts w:ascii="Times New Roman" w:hAnsi="Times New Roman" w:cs="Times New Roman"/>
          <w:b/>
          <w:bCs/>
          <w:u w:val="single"/>
        </w:rPr>
        <w:tab/>
      </w:r>
      <w:r w:rsidRPr="005478C9">
        <w:rPr>
          <w:rFonts w:ascii="Times New Roman" w:hAnsi="Times New Roman" w:cs="Times New Roman"/>
          <w:b/>
          <w:bCs/>
          <w:u w:val="single"/>
        </w:rPr>
        <w:tab/>
      </w:r>
      <w:r w:rsidRPr="005478C9">
        <w:rPr>
          <w:rFonts w:ascii="Times New Roman" w:hAnsi="Times New Roman" w:cs="Times New Roman"/>
          <w:b/>
          <w:bCs/>
          <w:u w:val="single"/>
        </w:rPr>
        <w:tab/>
      </w:r>
      <w:r w:rsidRPr="005478C9">
        <w:rPr>
          <w:rFonts w:ascii="Times New Roman" w:hAnsi="Times New Roman" w:cs="Times New Roman"/>
          <w:b/>
          <w:bCs/>
          <w:u w:val="single"/>
        </w:rPr>
        <w:tab/>
      </w:r>
      <w:r w:rsidRPr="005478C9">
        <w:rPr>
          <w:rFonts w:ascii="Times New Roman" w:hAnsi="Times New Roman" w:cs="Times New Roman"/>
          <w:b/>
          <w:bCs/>
          <w:u w:val="single"/>
        </w:rPr>
        <w:tab/>
      </w:r>
    </w:p>
    <w:p w14:paraId="106F97E6" w14:textId="7496823F" w:rsidR="005478C9" w:rsidRDefault="005478C9" w:rsidP="005478C9">
      <w:pPr>
        <w:pStyle w:val="ListParagraph"/>
        <w:numPr>
          <w:ilvl w:val="0"/>
          <w:numId w:val="2"/>
        </w:numPr>
        <w:rPr>
          <w:rFonts w:ascii="Times New Roman" w:hAnsi="Times New Roman" w:cs="Times New Roman"/>
          <w:b/>
          <w:bCs/>
        </w:rPr>
      </w:pPr>
      <w:r>
        <w:rPr>
          <w:rFonts w:ascii="Times New Roman" w:hAnsi="Times New Roman" w:cs="Times New Roman"/>
          <w:b/>
          <w:bCs/>
        </w:rPr>
        <w:t>Meeting HIPAA Compliance</w:t>
      </w:r>
    </w:p>
    <w:p w14:paraId="6ACA9E34" w14:textId="40829077" w:rsidR="005478C9" w:rsidRDefault="00C83FC9" w:rsidP="002B7809">
      <w:pPr>
        <w:pStyle w:val="ListParagraph"/>
        <w:numPr>
          <w:ilvl w:val="0"/>
          <w:numId w:val="4"/>
        </w:numPr>
        <w:rPr>
          <w:rFonts w:ascii="Times New Roman" w:hAnsi="Times New Roman" w:cs="Times New Roman"/>
          <w:b/>
          <w:bCs/>
        </w:rPr>
      </w:pPr>
      <w:r>
        <w:rPr>
          <w:rFonts w:ascii="Times New Roman" w:hAnsi="Times New Roman" w:cs="Times New Roman"/>
          <w:b/>
          <w:bCs/>
        </w:rPr>
        <w:t xml:space="preserve">Encryption </w:t>
      </w:r>
    </w:p>
    <w:p w14:paraId="7E66C2AE" w14:textId="733A6581" w:rsidR="00C83FC9" w:rsidRDefault="00C83FC9" w:rsidP="00C83FC9">
      <w:pPr>
        <w:spacing w:line="480" w:lineRule="auto"/>
        <w:ind w:firstLine="360"/>
        <w:rPr>
          <w:rFonts w:ascii="Times New Roman" w:hAnsi="Times New Roman" w:cs="Times New Roman"/>
        </w:rPr>
      </w:pPr>
      <w:r w:rsidRPr="00C83FC9">
        <w:rPr>
          <w:rFonts w:ascii="Times New Roman" w:hAnsi="Times New Roman" w:cs="Times New Roman"/>
        </w:rPr>
        <w:t xml:space="preserve">Following HIPAA’s regulation standard plays a vital role in lowering the chances of </w:t>
      </w:r>
      <w:proofErr w:type="gramStart"/>
      <w:r w:rsidRPr="00C83FC9">
        <w:rPr>
          <w:rFonts w:ascii="Times New Roman" w:hAnsi="Times New Roman" w:cs="Times New Roman"/>
        </w:rPr>
        <w:t>a data</w:t>
      </w:r>
      <w:proofErr w:type="gramEnd"/>
      <w:r w:rsidRPr="00C83FC9">
        <w:rPr>
          <w:rFonts w:ascii="Times New Roman" w:hAnsi="Times New Roman" w:cs="Times New Roman"/>
        </w:rPr>
        <w:t xml:space="preserve"> breach by requiring organizations to encrypt electronic protected health information (ePHI</w:t>
      </w:r>
      <w:r>
        <w:rPr>
          <w:rFonts w:ascii="Times New Roman" w:hAnsi="Times New Roman" w:cs="Times New Roman"/>
        </w:rPr>
        <w:t xml:space="preserve">). </w:t>
      </w:r>
      <w:r w:rsidRPr="00C83FC9">
        <w:rPr>
          <w:rFonts w:ascii="Times New Roman" w:hAnsi="Times New Roman" w:cs="Times New Roman"/>
        </w:rPr>
        <w:t xml:space="preserve"> Encryption acts as a safeguard, ensuring that intercepted or stolen data remains inaccessible and unreadable to unauthorized individuals. By adhering to HIPAA guidelines, healthcare entities implement advanced encryption protocols to protect sensitive information both at rest and in transit. This strategy not only mitigates the potential consequences of a breach but also demonstrates the organization's commitment to securing patient data</w:t>
      </w:r>
      <w:r>
        <w:rPr>
          <w:rFonts w:ascii="Times New Roman" w:hAnsi="Times New Roman" w:cs="Times New Roman"/>
        </w:rPr>
        <w:t xml:space="preserve"> safely</w:t>
      </w:r>
      <w:r w:rsidRPr="00C83FC9">
        <w:rPr>
          <w:rFonts w:ascii="Times New Roman" w:hAnsi="Times New Roman" w:cs="Times New Roman"/>
        </w:rPr>
        <w:t>.</w:t>
      </w:r>
    </w:p>
    <w:p w14:paraId="3AB3B919" w14:textId="77777777" w:rsidR="00C83FC9" w:rsidRDefault="00C83FC9" w:rsidP="00C83FC9">
      <w:pPr>
        <w:pStyle w:val="ListParagraph"/>
        <w:numPr>
          <w:ilvl w:val="0"/>
          <w:numId w:val="4"/>
        </w:numPr>
        <w:spacing w:line="240" w:lineRule="auto"/>
        <w:rPr>
          <w:rFonts w:ascii="Times New Roman" w:hAnsi="Times New Roman" w:cs="Times New Roman"/>
          <w:b/>
          <w:bCs/>
        </w:rPr>
      </w:pPr>
      <w:r w:rsidRPr="00C83FC9">
        <w:rPr>
          <w:rFonts w:ascii="Times New Roman" w:hAnsi="Times New Roman" w:cs="Times New Roman"/>
          <w:b/>
          <w:bCs/>
        </w:rPr>
        <w:t>Access Control</w:t>
      </w:r>
    </w:p>
    <w:p w14:paraId="3FC0C917" w14:textId="1B8D67AA" w:rsidR="00C83FC9" w:rsidRDefault="00C83FC9" w:rsidP="00C83FC9">
      <w:pPr>
        <w:spacing w:line="480" w:lineRule="auto"/>
        <w:ind w:firstLine="360"/>
      </w:pPr>
      <w:r>
        <w:t xml:space="preserve">When it comes to access controls, </w:t>
      </w:r>
      <w:r>
        <w:t>HIPAA</w:t>
      </w:r>
      <w:r>
        <w:t xml:space="preserve">’s </w:t>
      </w:r>
      <w:r>
        <w:t xml:space="preserve">compliance helps lower the risk of data breaches by enforcing strict access rules. This means only people with </w:t>
      </w:r>
      <w:r>
        <w:t xml:space="preserve">authorized </w:t>
      </w:r>
      <w:r>
        <w:t xml:space="preserve">permission can </w:t>
      </w:r>
      <w:r>
        <w:t xml:space="preserve">view </w:t>
      </w:r>
      <w:r>
        <w:t>or handle electronic health information (ePHI). Organizations can follow these rules by using role-based access</w:t>
      </w:r>
      <w:r>
        <w:t xml:space="preserve"> (RBAC)</w:t>
      </w:r>
      <w:r>
        <w:t xml:space="preserve">, unique user IDs, and multifactor authentication. Allowing access only to those who need it helps stop </w:t>
      </w:r>
      <w:r>
        <w:t xml:space="preserve">the </w:t>
      </w:r>
      <w:r>
        <w:t xml:space="preserve">misuse and reduces the chance of accidental or intentional exposure of sensitive </w:t>
      </w:r>
      <w:r>
        <w:t xml:space="preserve">patient </w:t>
      </w:r>
      <w:r>
        <w:t>health data.</w:t>
      </w:r>
    </w:p>
    <w:p w14:paraId="67C30833" w14:textId="668B379D" w:rsidR="00C83FC9" w:rsidRDefault="00C83FC9" w:rsidP="00C83FC9">
      <w:pPr>
        <w:pStyle w:val="ListParagraph"/>
        <w:numPr>
          <w:ilvl w:val="0"/>
          <w:numId w:val="4"/>
        </w:numPr>
        <w:spacing w:line="240" w:lineRule="auto"/>
        <w:rPr>
          <w:rFonts w:ascii="Times New Roman" w:hAnsi="Times New Roman" w:cs="Times New Roman"/>
          <w:b/>
          <w:bCs/>
        </w:rPr>
      </w:pPr>
      <w:r>
        <w:rPr>
          <w:rFonts w:ascii="Times New Roman" w:hAnsi="Times New Roman" w:cs="Times New Roman"/>
          <w:b/>
          <w:bCs/>
        </w:rPr>
        <w:t>Security Policies</w:t>
      </w:r>
    </w:p>
    <w:p w14:paraId="5B49D541" w14:textId="2E8083A1" w:rsidR="00C83FC9" w:rsidRDefault="00C83FC9" w:rsidP="00C83FC9">
      <w:pPr>
        <w:pStyle w:val="NormalWeb"/>
        <w:spacing w:line="480" w:lineRule="auto"/>
      </w:pPr>
      <w:r>
        <w:lastRenderedPageBreak/>
        <w:t xml:space="preserve">Setting up and following clear security </w:t>
      </w:r>
      <w:r>
        <w:t xml:space="preserve">policies </w:t>
      </w:r>
      <w:r>
        <w:t>helps protect data under HIPAA</w:t>
      </w:r>
      <w:r>
        <w:t>’s regulations</w:t>
      </w:r>
      <w:r>
        <w:t xml:space="preserve">. </w:t>
      </w:r>
      <w:r>
        <w:t xml:space="preserve">Following these guidelines </w:t>
      </w:r>
      <w:proofErr w:type="gramStart"/>
      <w:r>
        <w:t>shows</w:t>
      </w:r>
      <w:proofErr w:type="gramEnd"/>
      <w:r>
        <w:t xml:space="preserve"> employees how to manage electronic health information, handle issues, and use technology safely. When a company shares clear guidelines, employees understand their duties</w:t>
      </w:r>
      <w:r>
        <w:t xml:space="preserve"> and responsibilities for their job role</w:t>
      </w:r>
      <w:r>
        <w:t xml:space="preserve">. </w:t>
      </w:r>
      <w:r>
        <w:t>U</w:t>
      </w:r>
      <w:r>
        <w:t xml:space="preserve">nderstanding helps prevent mistakes, which often lead to data breaches in </w:t>
      </w:r>
      <w:r>
        <w:t xml:space="preserve">the </w:t>
      </w:r>
      <w:r>
        <w:t>healthcare</w:t>
      </w:r>
      <w:r>
        <w:t xml:space="preserve"> industry</w:t>
      </w:r>
      <w:r>
        <w:t>.</w:t>
      </w:r>
    </w:p>
    <w:p w14:paraId="7E60D906" w14:textId="000B7BDD" w:rsidR="00C83FC9" w:rsidRDefault="00C83FC9" w:rsidP="00C83FC9">
      <w:pPr>
        <w:pStyle w:val="ListParagraph"/>
        <w:numPr>
          <w:ilvl w:val="0"/>
          <w:numId w:val="2"/>
        </w:numPr>
        <w:spacing w:line="480" w:lineRule="auto"/>
        <w:rPr>
          <w:rFonts w:ascii="Times New Roman" w:hAnsi="Times New Roman" w:cs="Times New Roman"/>
          <w:b/>
          <w:bCs/>
        </w:rPr>
      </w:pPr>
      <w:r>
        <w:rPr>
          <w:rFonts w:ascii="Times New Roman" w:hAnsi="Times New Roman" w:cs="Times New Roman"/>
          <w:b/>
          <w:bCs/>
        </w:rPr>
        <w:t xml:space="preserve">Improving Security Posture </w:t>
      </w:r>
    </w:p>
    <w:p w14:paraId="3C43321D" w14:textId="7A8E9C3F" w:rsidR="00C83FC9" w:rsidRDefault="00C83FC9" w:rsidP="00C83FC9">
      <w:pPr>
        <w:pStyle w:val="ListParagraph"/>
        <w:numPr>
          <w:ilvl w:val="0"/>
          <w:numId w:val="5"/>
        </w:numPr>
        <w:spacing w:line="240" w:lineRule="auto"/>
        <w:rPr>
          <w:rFonts w:ascii="Times New Roman" w:hAnsi="Times New Roman" w:cs="Times New Roman"/>
          <w:b/>
          <w:bCs/>
        </w:rPr>
      </w:pPr>
      <w:r>
        <w:rPr>
          <w:rFonts w:ascii="Times New Roman" w:hAnsi="Times New Roman" w:cs="Times New Roman"/>
          <w:b/>
          <w:bCs/>
        </w:rPr>
        <w:t>Attack Surface</w:t>
      </w:r>
    </w:p>
    <w:p w14:paraId="347410AF" w14:textId="6C335C86" w:rsidR="00C83FC9" w:rsidRDefault="00C83FC9" w:rsidP="00C83FC9">
      <w:pPr>
        <w:spacing w:line="480" w:lineRule="auto"/>
        <w:rPr>
          <w:rFonts w:ascii="Times New Roman" w:hAnsi="Times New Roman" w:cs="Times New Roman"/>
        </w:rPr>
      </w:pPr>
      <w:r w:rsidRPr="00C83FC9">
        <w:rPr>
          <w:rFonts w:ascii="Times New Roman" w:hAnsi="Times New Roman" w:cs="Times New Roman"/>
        </w:rPr>
        <w:t xml:space="preserve">Organizations </w:t>
      </w:r>
      <w:r>
        <w:rPr>
          <w:rFonts w:ascii="Times New Roman" w:hAnsi="Times New Roman" w:cs="Times New Roman"/>
        </w:rPr>
        <w:t xml:space="preserve">can strengthen their security measures by following HIPAA’s guidelines. </w:t>
      </w:r>
      <w:r w:rsidRPr="00C83FC9">
        <w:rPr>
          <w:rFonts w:ascii="Times New Roman" w:hAnsi="Times New Roman" w:cs="Times New Roman"/>
        </w:rPr>
        <w:t>They</w:t>
      </w:r>
      <w:r w:rsidRPr="00C83FC9">
        <w:rPr>
          <w:rFonts w:ascii="Times New Roman" w:hAnsi="Times New Roman" w:cs="Times New Roman"/>
        </w:rPr>
        <w:t xml:space="preserve"> can </w:t>
      </w:r>
      <w:r>
        <w:rPr>
          <w:rFonts w:ascii="Times New Roman" w:hAnsi="Times New Roman" w:cs="Times New Roman"/>
        </w:rPr>
        <w:t xml:space="preserve">regularly </w:t>
      </w:r>
      <w:r w:rsidRPr="00C83FC9">
        <w:rPr>
          <w:rFonts w:ascii="Times New Roman" w:hAnsi="Times New Roman" w:cs="Times New Roman"/>
        </w:rPr>
        <w:t>keep an eye on their networks, regularly check for security gaps, and keep key systems separate.</w:t>
      </w:r>
      <w:r>
        <w:rPr>
          <w:rFonts w:ascii="Times New Roman" w:hAnsi="Times New Roman" w:cs="Times New Roman"/>
        </w:rPr>
        <w:t xml:space="preserve"> Enforcing MFA limits</w:t>
      </w:r>
      <w:r w:rsidRPr="00C83FC9">
        <w:rPr>
          <w:rFonts w:ascii="Times New Roman" w:hAnsi="Times New Roman" w:cs="Times New Roman"/>
        </w:rPr>
        <w:t xml:space="preserve"> the opportunities for attackers.</w:t>
      </w:r>
      <w:r>
        <w:rPr>
          <w:rFonts w:ascii="Times New Roman" w:hAnsi="Times New Roman" w:cs="Times New Roman"/>
        </w:rPr>
        <w:t xml:space="preserve"> </w:t>
      </w:r>
      <w:r w:rsidRPr="00C83FC9">
        <w:rPr>
          <w:rFonts w:ascii="Times New Roman" w:hAnsi="Times New Roman" w:cs="Times New Roman"/>
        </w:rPr>
        <w:t xml:space="preserve"> By combining HIPAA guidelines with active security steps, organizations </w:t>
      </w:r>
      <w:r>
        <w:rPr>
          <w:rFonts w:ascii="Times New Roman" w:hAnsi="Times New Roman" w:cs="Times New Roman"/>
        </w:rPr>
        <w:t xml:space="preserve">can </w:t>
      </w:r>
      <w:r w:rsidRPr="00C83FC9">
        <w:rPr>
          <w:rFonts w:ascii="Times New Roman" w:hAnsi="Times New Roman" w:cs="Times New Roman"/>
        </w:rPr>
        <w:t xml:space="preserve">build extra layers of defense, making it </w:t>
      </w:r>
      <w:r>
        <w:rPr>
          <w:rFonts w:ascii="Times New Roman" w:hAnsi="Times New Roman" w:cs="Times New Roman"/>
        </w:rPr>
        <w:t>more challenging</w:t>
      </w:r>
      <w:r w:rsidRPr="00C83FC9">
        <w:rPr>
          <w:rFonts w:ascii="Times New Roman" w:hAnsi="Times New Roman" w:cs="Times New Roman"/>
        </w:rPr>
        <w:t xml:space="preserve"> for threats to </w:t>
      </w:r>
      <w:r>
        <w:rPr>
          <w:rFonts w:ascii="Times New Roman" w:hAnsi="Times New Roman" w:cs="Times New Roman"/>
        </w:rPr>
        <w:t>pass through</w:t>
      </w:r>
      <w:r w:rsidRPr="00C83FC9">
        <w:rPr>
          <w:rFonts w:ascii="Times New Roman" w:hAnsi="Times New Roman" w:cs="Times New Roman"/>
        </w:rPr>
        <w:t>.</w:t>
      </w:r>
      <w:r>
        <w:rPr>
          <w:rFonts w:ascii="Times New Roman" w:hAnsi="Times New Roman" w:cs="Times New Roman"/>
        </w:rPr>
        <w:t xml:space="preserve"> </w:t>
      </w:r>
    </w:p>
    <w:p w14:paraId="5E3FBFC0" w14:textId="78934E6D" w:rsidR="00C83FC9" w:rsidRDefault="00C83FC9" w:rsidP="00C83FC9">
      <w:pPr>
        <w:pStyle w:val="ListParagraph"/>
        <w:numPr>
          <w:ilvl w:val="0"/>
          <w:numId w:val="5"/>
        </w:numPr>
        <w:spacing w:line="240" w:lineRule="auto"/>
        <w:rPr>
          <w:rFonts w:ascii="Times New Roman" w:hAnsi="Times New Roman" w:cs="Times New Roman"/>
          <w:b/>
          <w:bCs/>
        </w:rPr>
      </w:pPr>
      <w:r w:rsidRPr="00C83FC9">
        <w:rPr>
          <w:rFonts w:ascii="Times New Roman" w:hAnsi="Times New Roman" w:cs="Times New Roman"/>
          <w:b/>
          <w:bCs/>
        </w:rPr>
        <w:t xml:space="preserve">Scalability </w:t>
      </w:r>
    </w:p>
    <w:p w14:paraId="0DFEEEA2" w14:textId="6E2A888A" w:rsidR="00C83FC9" w:rsidRDefault="00C83FC9" w:rsidP="00C83FC9">
      <w:pPr>
        <w:pStyle w:val="NormalWeb"/>
        <w:spacing w:line="480" w:lineRule="auto"/>
        <w:ind w:firstLine="360"/>
      </w:pPr>
      <w:r>
        <w:t xml:space="preserve">Following HIPAA rules helps </w:t>
      </w:r>
      <w:r>
        <w:t>an organization</w:t>
      </w:r>
      <w:r>
        <w:t xml:space="preserve"> grow its </w:t>
      </w:r>
      <w:r>
        <w:t>people</w:t>
      </w:r>
      <w:r>
        <w:t xml:space="preserve">, processes, and technology. For </w:t>
      </w:r>
      <w:r>
        <w:t>example</w:t>
      </w:r>
      <w:r>
        <w:t>, when a</w:t>
      </w:r>
      <w:r>
        <w:t>n</w:t>
      </w:r>
      <w:r>
        <w:t xml:space="preserve"> </w:t>
      </w:r>
      <w:r>
        <w:t xml:space="preserve">organization </w:t>
      </w:r>
      <w:r>
        <w:t>expands or uses new technology, HIPAA's guidelines help set up strong training programs and access controls</w:t>
      </w:r>
      <w:r>
        <w:t xml:space="preserve"> for its employees</w:t>
      </w:r>
      <w:r>
        <w:t xml:space="preserve">. </w:t>
      </w:r>
      <w:r>
        <w:t xml:space="preserve">Using this </w:t>
      </w:r>
      <w:r>
        <w:t xml:space="preserve">approach makes sure security measures grow with the </w:t>
      </w:r>
      <w:r>
        <w:t>organization</w:t>
      </w:r>
      <w:r>
        <w:t xml:space="preserve"> while keeping up with compliance rules</w:t>
      </w:r>
      <w:r>
        <w:t xml:space="preserve"> and standards</w:t>
      </w:r>
      <w:r>
        <w:t>.</w:t>
      </w:r>
    </w:p>
    <w:p w14:paraId="51C34C56" w14:textId="7134DCD4" w:rsidR="00C83FC9" w:rsidRPr="00C83FC9" w:rsidRDefault="00C83FC9" w:rsidP="00C83FC9">
      <w:pPr>
        <w:pStyle w:val="NormalWeb"/>
        <w:numPr>
          <w:ilvl w:val="0"/>
          <w:numId w:val="5"/>
        </w:numPr>
        <w:rPr>
          <w:b/>
          <w:bCs/>
        </w:rPr>
      </w:pPr>
      <w:r w:rsidRPr="00C83FC9">
        <w:rPr>
          <w:b/>
          <w:bCs/>
        </w:rPr>
        <w:t>Multi-Layered Approach</w:t>
      </w:r>
    </w:p>
    <w:p w14:paraId="4E64CF6A" w14:textId="246E3843" w:rsidR="00C83FC9" w:rsidRDefault="00C83FC9" w:rsidP="00C83FC9">
      <w:pPr>
        <w:pStyle w:val="NormalWeb"/>
        <w:spacing w:line="480" w:lineRule="auto"/>
        <w:ind w:firstLine="360"/>
      </w:pPr>
      <w:r>
        <w:t xml:space="preserve">As for the Multi-Layered Approach, </w:t>
      </w:r>
      <w:r>
        <w:t xml:space="preserve">HIPAA </w:t>
      </w:r>
      <w:r>
        <w:t xml:space="preserve">uses </w:t>
      </w:r>
      <w:r>
        <w:t xml:space="preserve">different types of security measures: technical, administrative, and physical. This means that if one measure fails, like a password being </w:t>
      </w:r>
      <w:r>
        <w:t>compromised</w:t>
      </w:r>
      <w:r>
        <w:t xml:space="preserve">, other protections like encryption, firewalls, and monitoring systems </w:t>
      </w:r>
      <w:r>
        <w:t xml:space="preserve">will </w:t>
      </w:r>
      <w:r>
        <w:lastRenderedPageBreak/>
        <w:t xml:space="preserve">help </w:t>
      </w:r>
      <w:r>
        <w:t xml:space="preserve">stop </w:t>
      </w:r>
      <w:r>
        <w:t xml:space="preserve">someone from gaining </w:t>
      </w:r>
      <w:r>
        <w:t xml:space="preserve">unauthorized access. This layered security helps organizations find, control, and respond to threats better, lowering </w:t>
      </w:r>
      <w:r>
        <w:t xml:space="preserve">their </w:t>
      </w:r>
      <w:r>
        <w:t>overall risk.</w:t>
      </w:r>
      <w:r>
        <w:t xml:space="preserve"> </w:t>
      </w:r>
    </w:p>
    <w:p w14:paraId="7E12A86E" w14:textId="7C78AC56" w:rsidR="00C83FC9" w:rsidRPr="00C83FC9" w:rsidRDefault="00C83FC9" w:rsidP="00C83FC9">
      <w:pPr>
        <w:pStyle w:val="NormalWeb"/>
        <w:numPr>
          <w:ilvl w:val="0"/>
          <w:numId w:val="2"/>
        </w:numPr>
        <w:rPr>
          <w:b/>
          <w:bCs/>
        </w:rPr>
      </w:pPr>
      <w:r w:rsidRPr="00C83FC9">
        <w:rPr>
          <w:b/>
          <w:bCs/>
        </w:rPr>
        <w:t>Third-Part</w:t>
      </w:r>
      <w:r w:rsidR="00AA3A47">
        <w:rPr>
          <w:b/>
          <w:bCs/>
        </w:rPr>
        <w:t>y</w:t>
      </w:r>
      <w:r w:rsidRPr="00C83FC9">
        <w:rPr>
          <w:b/>
          <w:bCs/>
        </w:rPr>
        <w:t xml:space="preserve"> Agreements</w:t>
      </w:r>
    </w:p>
    <w:p w14:paraId="3499F720" w14:textId="3C39E178" w:rsidR="00C83FC9" w:rsidRPr="00C83FC9" w:rsidRDefault="00C83FC9" w:rsidP="00C83FC9">
      <w:pPr>
        <w:pStyle w:val="NormalWeb"/>
        <w:numPr>
          <w:ilvl w:val="0"/>
          <w:numId w:val="6"/>
        </w:numPr>
        <w:rPr>
          <w:b/>
          <w:bCs/>
        </w:rPr>
      </w:pPr>
      <w:r w:rsidRPr="00C83FC9">
        <w:rPr>
          <w:b/>
          <w:bCs/>
        </w:rPr>
        <w:t xml:space="preserve">External Contractors </w:t>
      </w:r>
    </w:p>
    <w:p w14:paraId="6985303D" w14:textId="06FEDD4B" w:rsidR="00C83FC9" w:rsidRDefault="00C83FC9" w:rsidP="00C83FC9">
      <w:pPr>
        <w:pStyle w:val="NormalWeb"/>
        <w:spacing w:line="480" w:lineRule="auto"/>
        <w:ind w:firstLine="360"/>
      </w:pPr>
      <w:r>
        <w:t xml:space="preserve">Following HIPAA’s rules is very important for an organization to work with external contractors and business partners. Third parties must adhere to HIPAA’s rules because they might have access to sensitive electronic protected health information. Organizations must create a formal agreement, like a Business Associate Agreement, for their partners to follow the same security and privacy rules. This will help protect electronic protected health information from its patients safely. </w:t>
      </w:r>
    </w:p>
    <w:p w14:paraId="00C451C8" w14:textId="75801F34" w:rsidR="00C83FC9" w:rsidRPr="00C83FC9" w:rsidRDefault="00C83FC9" w:rsidP="00C83FC9">
      <w:pPr>
        <w:pStyle w:val="NormalWeb"/>
        <w:numPr>
          <w:ilvl w:val="0"/>
          <w:numId w:val="6"/>
        </w:numPr>
      </w:pPr>
      <w:r>
        <w:rPr>
          <w:b/>
          <w:bCs/>
        </w:rPr>
        <w:t xml:space="preserve">Cloud-based </w:t>
      </w:r>
    </w:p>
    <w:p w14:paraId="4D7960E6" w14:textId="20B3AFE1" w:rsidR="00C83FC9" w:rsidRDefault="00C83FC9" w:rsidP="00C83FC9">
      <w:pPr>
        <w:pStyle w:val="NormalWeb"/>
        <w:spacing w:line="480" w:lineRule="auto"/>
        <w:ind w:firstLine="360"/>
      </w:pPr>
      <w:r>
        <w:t xml:space="preserve">As for </w:t>
      </w:r>
      <w:r>
        <w:t>cloud environments, following HIPAA</w:t>
      </w:r>
      <w:r>
        <w:t xml:space="preserve">’s regulation </w:t>
      </w:r>
      <w:r>
        <w:t>means setting up</w:t>
      </w:r>
      <w:r>
        <w:t xml:space="preserve"> proper</w:t>
      </w:r>
      <w:r>
        <w:t xml:space="preserve"> access controls for cloud providers to stop </w:t>
      </w:r>
      <w:r>
        <w:t xml:space="preserve">any form of </w:t>
      </w:r>
      <w:r>
        <w:t xml:space="preserve">unauthorized access. This includes using encryption, authentication, and audit logging designed for cloud services. </w:t>
      </w:r>
      <w:r>
        <w:t>C</w:t>
      </w:r>
      <w:r>
        <w:t xml:space="preserve">loud providers </w:t>
      </w:r>
      <w:r>
        <w:t xml:space="preserve">need to </w:t>
      </w:r>
      <w:r>
        <w:t>follow HIPAA rules</w:t>
      </w:r>
      <w:r>
        <w:t>, and having strong access control policies in place is</w:t>
      </w:r>
      <w:r>
        <w:t xml:space="preserve"> key to preventing data breaches.</w:t>
      </w:r>
    </w:p>
    <w:p w14:paraId="002D4CA0" w14:textId="77777777" w:rsidR="00C83FC9" w:rsidRDefault="00C83FC9" w:rsidP="00C83FC9">
      <w:pPr>
        <w:pStyle w:val="NormalWeb"/>
        <w:spacing w:line="480" w:lineRule="auto"/>
      </w:pPr>
    </w:p>
    <w:p w14:paraId="4B307FCC" w14:textId="77777777" w:rsidR="00C83FC9" w:rsidRDefault="00C83FC9" w:rsidP="00C83FC9">
      <w:pPr>
        <w:pStyle w:val="NormalWeb"/>
        <w:spacing w:line="480" w:lineRule="auto"/>
      </w:pPr>
    </w:p>
    <w:p w14:paraId="6D876B07" w14:textId="77777777" w:rsidR="00C83FC9" w:rsidRPr="00C83FC9" w:rsidRDefault="00C83FC9" w:rsidP="00C83FC9">
      <w:pPr>
        <w:spacing w:line="480" w:lineRule="auto"/>
        <w:rPr>
          <w:rFonts w:ascii="Times New Roman" w:hAnsi="Times New Roman" w:cs="Times New Roman"/>
          <w:b/>
          <w:bCs/>
        </w:rPr>
      </w:pPr>
    </w:p>
    <w:p w14:paraId="0EEB02D7" w14:textId="77777777" w:rsidR="00C83FC9" w:rsidRPr="00C83FC9" w:rsidRDefault="00C83FC9" w:rsidP="00C83FC9">
      <w:pPr>
        <w:spacing w:line="480" w:lineRule="auto"/>
        <w:rPr>
          <w:rFonts w:ascii="Times New Roman" w:hAnsi="Times New Roman" w:cs="Times New Roman"/>
          <w:b/>
          <w:bCs/>
        </w:rPr>
      </w:pPr>
    </w:p>
    <w:sectPr w:rsidR="00C83FC9" w:rsidRPr="00C83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721BB"/>
    <w:multiLevelType w:val="hybridMultilevel"/>
    <w:tmpl w:val="6B66C9AC"/>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3D6140B"/>
    <w:multiLevelType w:val="hybridMultilevel"/>
    <w:tmpl w:val="9A16BF0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24829FC"/>
    <w:multiLevelType w:val="hybridMultilevel"/>
    <w:tmpl w:val="8ACC483A"/>
    <w:lvl w:ilvl="0" w:tplc="4E4634EE">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4E21745"/>
    <w:multiLevelType w:val="hybridMultilevel"/>
    <w:tmpl w:val="EFAE9E70"/>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16036C4"/>
    <w:multiLevelType w:val="hybridMultilevel"/>
    <w:tmpl w:val="8E3868F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1615517"/>
    <w:multiLevelType w:val="hybridMultilevel"/>
    <w:tmpl w:val="F4ACF4F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22123399">
    <w:abstractNumId w:val="0"/>
  </w:num>
  <w:num w:numId="2" w16cid:durableId="1153134971">
    <w:abstractNumId w:val="3"/>
  </w:num>
  <w:num w:numId="3" w16cid:durableId="1337728960">
    <w:abstractNumId w:val="1"/>
  </w:num>
  <w:num w:numId="4" w16cid:durableId="836922255">
    <w:abstractNumId w:val="2"/>
  </w:num>
  <w:num w:numId="5" w16cid:durableId="2078939716">
    <w:abstractNumId w:val="4"/>
  </w:num>
  <w:num w:numId="6" w16cid:durableId="19888930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8C9"/>
    <w:rsid w:val="000C5B2F"/>
    <w:rsid w:val="002B7809"/>
    <w:rsid w:val="005478C9"/>
    <w:rsid w:val="00625A0E"/>
    <w:rsid w:val="009A65A5"/>
    <w:rsid w:val="00AA3A47"/>
    <w:rsid w:val="00AD2DEA"/>
    <w:rsid w:val="00BD276E"/>
    <w:rsid w:val="00BD7D97"/>
    <w:rsid w:val="00C83FC9"/>
    <w:rsid w:val="00D16129"/>
    <w:rsid w:val="00D40D31"/>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7FBD9A"/>
  <w15:chartTrackingRefBased/>
  <w15:docId w15:val="{C959E353-2BD0-42D3-B05C-7415EF58B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8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78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78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8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8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8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78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78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8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8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8C9"/>
    <w:rPr>
      <w:rFonts w:eastAsiaTheme="majorEastAsia" w:cstheme="majorBidi"/>
      <w:color w:val="272727" w:themeColor="text1" w:themeTint="D8"/>
    </w:rPr>
  </w:style>
  <w:style w:type="paragraph" w:styleId="Title">
    <w:name w:val="Title"/>
    <w:basedOn w:val="Normal"/>
    <w:next w:val="Normal"/>
    <w:link w:val="TitleChar"/>
    <w:uiPriority w:val="10"/>
    <w:qFormat/>
    <w:rsid w:val="00547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8C9"/>
    <w:pPr>
      <w:spacing w:before="160"/>
      <w:jc w:val="center"/>
    </w:pPr>
    <w:rPr>
      <w:i/>
      <w:iCs/>
      <w:color w:val="404040" w:themeColor="text1" w:themeTint="BF"/>
    </w:rPr>
  </w:style>
  <w:style w:type="character" w:customStyle="1" w:styleId="QuoteChar">
    <w:name w:val="Quote Char"/>
    <w:basedOn w:val="DefaultParagraphFont"/>
    <w:link w:val="Quote"/>
    <w:uiPriority w:val="29"/>
    <w:rsid w:val="005478C9"/>
    <w:rPr>
      <w:i/>
      <w:iCs/>
      <w:color w:val="404040" w:themeColor="text1" w:themeTint="BF"/>
    </w:rPr>
  </w:style>
  <w:style w:type="paragraph" w:styleId="ListParagraph">
    <w:name w:val="List Paragraph"/>
    <w:basedOn w:val="Normal"/>
    <w:uiPriority w:val="34"/>
    <w:qFormat/>
    <w:rsid w:val="005478C9"/>
    <w:pPr>
      <w:ind w:left="720"/>
      <w:contextualSpacing/>
    </w:pPr>
  </w:style>
  <w:style w:type="character" w:styleId="IntenseEmphasis">
    <w:name w:val="Intense Emphasis"/>
    <w:basedOn w:val="DefaultParagraphFont"/>
    <w:uiPriority w:val="21"/>
    <w:qFormat/>
    <w:rsid w:val="005478C9"/>
    <w:rPr>
      <w:i/>
      <w:iCs/>
      <w:color w:val="2F5496" w:themeColor="accent1" w:themeShade="BF"/>
    </w:rPr>
  </w:style>
  <w:style w:type="paragraph" w:styleId="IntenseQuote">
    <w:name w:val="Intense Quote"/>
    <w:basedOn w:val="Normal"/>
    <w:next w:val="Normal"/>
    <w:link w:val="IntenseQuoteChar"/>
    <w:uiPriority w:val="30"/>
    <w:qFormat/>
    <w:rsid w:val="005478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8C9"/>
    <w:rPr>
      <w:i/>
      <w:iCs/>
      <w:color w:val="2F5496" w:themeColor="accent1" w:themeShade="BF"/>
    </w:rPr>
  </w:style>
  <w:style w:type="character" w:styleId="IntenseReference">
    <w:name w:val="Intense Reference"/>
    <w:basedOn w:val="DefaultParagraphFont"/>
    <w:uiPriority w:val="32"/>
    <w:qFormat/>
    <w:rsid w:val="005478C9"/>
    <w:rPr>
      <w:b/>
      <w:bCs/>
      <w:smallCaps/>
      <w:color w:val="2F5496" w:themeColor="accent1" w:themeShade="BF"/>
      <w:spacing w:val="5"/>
    </w:rPr>
  </w:style>
  <w:style w:type="paragraph" w:styleId="NormalWeb">
    <w:name w:val="Normal (Web)"/>
    <w:basedOn w:val="Normal"/>
    <w:uiPriority w:val="99"/>
    <w:semiHidden/>
    <w:unhideWhenUsed/>
    <w:rsid w:val="00C83FC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1555</TotalTime>
  <Pages>3</Pages>
  <Words>574</Words>
  <Characters>3493</Characters>
  <Application>Microsoft Office Word</Application>
  <DocSecurity>0</DocSecurity>
  <Lines>64</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3</cp:revision>
  <cp:lastPrinted>2025-10-20T00:35:00Z</cp:lastPrinted>
  <dcterms:created xsi:type="dcterms:W3CDTF">2025-10-18T01:58:00Z</dcterms:created>
  <dcterms:modified xsi:type="dcterms:W3CDTF">2025-10-20T00:35:00Z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5280843e-c6d6-4d77-aef7-abc161d7a8fc</vt:lpwstr>
  </property>
</Properties>
</file>