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37330" w14:textId="630842AD" w:rsidR="00C92C93" w:rsidRPr="000D6EDA" w:rsidRDefault="00A22B93">
      <w:pPr>
        <w:rPr>
          <w:b/>
          <w:bCs/>
          <w:lang w:val="es-ES"/>
        </w:rPr>
      </w:pPr>
      <w:proofErr w:type="spellStart"/>
      <w:r w:rsidRPr="000D6EDA">
        <w:rPr>
          <w:b/>
          <w:bCs/>
          <w:lang w:val="es-ES"/>
        </w:rPr>
        <w:t>Preprocesamiento</w:t>
      </w:r>
      <w:proofErr w:type="spellEnd"/>
      <w:r w:rsidRPr="000D6EDA">
        <w:rPr>
          <w:b/>
          <w:bCs/>
          <w:lang w:val="es-ES"/>
        </w:rPr>
        <w:t xml:space="preserve"> de </w:t>
      </w:r>
      <w:proofErr w:type="spellStart"/>
      <w:r w:rsidRPr="000D6EDA">
        <w:rPr>
          <w:b/>
          <w:bCs/>
          <w:lang w:val="es-ES"/>
        </w:rPr>
        <w:t>Datasets</w:t>
      </w:r>
      <w:proofErr w:type="spellEnd"/>
    </w:p>
    <w:p w14:paraId="4EF2C27C" w14:textId="521BEE81" w:rsidR="00A22B93" w:rsidRDefault="00A22B93">
      <w:pPr>
        <w:rPr>
          <w:lang w:val="es-ES"/>
        </w:rPr>
      </w:pPr>
    </w:p>
    <w:p w14:paraId="1499B471" w14:textId="14831340" w:rsidR="00A22B93" w:rsidRPr="000D6EDA" w:rsidRDefault="00A22B93">
      <w:pPr>
        <w:rPr>
          <w:b/>
          <w:bCs/>
          <w:lang w:val="es-ES"/>
        </w:rPr>
      </w:pPr>
      <w:proofErr w:type="spellStart"/>
      <w:r w:rsidRPr="000D6EDA">
        <w:rPr>
          <w:b/>
          <w:bCs/>
          <w:lang w:val="es-ES"/>
        </w:rPr>
        <w:t>Dataset</w:t>
      </w:r>
      <w:proofErr w:type="spellEnd"/>
      <w:r w:rsidRPr="000D6EDA">
        <w:rPr>
          <w:b/>
          <w:bCs/>
          <w:lang w:val="es-ES"/>
        </w:rPr>
        <w:t xml:space="preserve"> del Gimnasio</w:t>
      </w:r>
    </w:p>
    <w:p w14:paraId="03863FF7" w14:textId="21B089CA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 primero fue leer el archivo, ajustar el nombre de las columnas y tipo de datos. </w:t>
      </w:r>
    </w:p>
    <w:p w14:paraId="0CA2C5CE" w14:textId="06489173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Después rellenamos algunos valores nulos, que fueron pocos, en la columna de humedad</w:t>
      </w:r>
    </w:p>
    <w:p w14:paraId="2900A432" w14:textId="085C55FC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Posteriormente pasamos a generar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original,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con resolución de 10 segundos, el cual tenía el promedio de las mediciones con su respectiva desviación estándar y </w:t>
      </w:r>
      <w:proofErr w:type="spellStart"/>
      <w:r>
        <w:rPr>
          <w:lang w:val="es-ES"/>
        </w:rPr>
        <w:t>kurtosis</w:t>
      </w:r>
      <w:proofErr w:type="spellEnd"/>
      <w:r>
        <w:rPr>
          <w:lang w:val="es-ES"/>
        </w:rPr>
        <w:t xml:space="preserve">.  </w:t>
      </w:r>
    </w:p>
    <w:p w14:paraId="595B4956" w14:textId="72844B18" w:rsidR="00FA6C75" w:rsidRDefault="00FA6C75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realizó la estandarización de los datos, y una división de 80-20 para training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.</w:t>
      </w:r>
    </w:p>
    <w:p w14:paraId="66B88557" w14:textId="3F1D4614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Utilizamos este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promediado para aplicar PCA, pero encontramos que para obtener el 95% de la variabilidad explicada eran necesarios utilizar 8 de los 12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 disponibles. En este enfoque algunos de los atributos se consideran fuertemente correlacionados por lo que no se considera la mejor opción para utilizar. </w:t>
      </w:r>
    </w:p>
    <w:p w14:paraId="611633C5" w14:textId="4E4C5D48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decidió utilizar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promediado a </w:t>
      </w:r>
      <w:proofErr w:type="gramStart"/>
      <w:r>
        <w:rPr>
          <w:lang w:val="es-ES"/>
        </w:rPr>
        <w:t>10seg</w:t>
      </w:r>
      <w:proofErr w:type="gramEnd"/>
      <w:r>
        <w:rPr>
          <w:lang w:val="es-ES"/>
        </w:rPr>
        <w:t xml:space="preserve"> pero solamente utilizando las medias de las mediciones, descartando 8 de los 12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 xml:space="preserve">. Dichas medias corresponden a temperatura, humedad, presión y altitud. </w:t>
      </w:r>
      <w:r w:rsidRPr="00A22B93">
        <w:rPr>
          <w:highlight w:val="yellow"/>
          <w:lang w:val="es-ES"/>
        </w:rPr>
        <w:t>Se tienen fuertes sospechas que la presión y la altitud no deben ser utilizados para la estimación de la ocupación</w:t>
      </w:r>
      <w:r>
        <w:rPr>
          <w:lang w:val="es-ES"/>
        </w:rPr>
        <w:t>.</w:t>
      </w:r>
    </w:p>
    <w:p w14:paraId="62A362CE" w14:textId="0C513CFB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Posteriormente se procedió a generar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balancedo</w:t>
      </w:r>
      <w:proofErr w:type="spellEnd"/>
      <w:r>
        <w:rPr>
          <w:lang w:val="es-ES"/>
        </w:rPr>
        <w:t xml:space="preserve"> partiendo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10seg con PCA. Para el balanceo se utilizó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usando el método de ADASYN. </w:t>
      </w:r>
    </w:p>
    <w:p w14:paraId="239D250E" w14:textId="5841C33D" w:rsidR="00A22B93" w:rsidRDefault="00A22B93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Finalmente se generó un nuevo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partiendo del original, pero con resolución de 1 minuto sin promedio de muestras. Dicho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también fue balanceado usando la técnica de ADASYN, más no se le aplico PCA.</w:t>
      </w:r>
    </w:p>
    <w:p w14:paraId="6DEBEE2C" w14:textId="727AE6A6" w:rsidR="00FA6C75" w:rsidRDefault="00FA6C75" w:rsidP="00A22B93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encontró </w:t>
      </w:r>
      <w:proofErr w:type="gramStart"/>
      <w:r>
        <w:rPr>
          <w:lang w:val="es-ES"/>
        </w:rPr>
        <w:t>que</w:t>
      </w:r>
      <w:proofErr w:type="gramEnd"/>
      <w:r>
        <w:rPr>
          <w:lang w:val="es-ES"/>
        </w:rPr>
        <w:t xml:space="preserve"> aunque se obtuvo el mejor resultado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10seg sin procesar, no hubo una reducción significativa en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con PCA, y PCA con </w:t>
      </w:r>
      <w:proofErr w:type="spellStart"/>
      <w:r>
        <w:rPr>
          <w:lang w:val="es-ES"/>
        </w:rPr>
        <w:t>Ovesampling</w:t>
      </w:r>
      <w:proofErr w:type="spellEnd"/>
      <w:r>
        <w:rPr>
          <w:lang w:val="es-ES"/>
        </w:rPr>
        <w:t xml:space="preserve">. </w:t>
      </w:r>
      <w:proofErr w:type="gramStart"/>
      <w:r>
        <w:rPr>
          <w:lang w:val="es-ES"/>
        </w:rPr>
        <w:t>Igualmente</w:t>
      </w:r>
      <w:proofErr w:type="gramEnd"/>
      <w:r>
        <w:rPr>
          <w:lang w:val="es-ES"/>
        </w:rPr>
        <w:t xml:space="preserve">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1 muestra por minuto tampoco hubo perdida significativa. La diferencia en </w:t>
      </w:r>
      <w:proofErr w:type="spellStart"/>
      <w:r>
        <w:rPr>
          <w:lang w:val="es-ES"/>
        </w:rPr>
        <w:t>accuracy</w:t>
      </w:r>
      <w:proofErr w:type="spellEnd"/>
      <w:r>
        <w:rPr>
          <w:lang w:val="es-ES"/>
        </w:rPr>
        <w:t xml:space="preserve"> entre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10seg </w:t>
      </w:r>
      <w:proofErr w:type="spellStart"/>
      <w:r>
        <w:rPr>
          <w:lang w:val="es-ES"/>
        </w:rPr>
        <w:t>pormediado</w:t>
      </w:r>
      <w:proofErr w:type="spellEnd"/>
      <w:r>
        <w:rPr>
          <w:lang w:val="es-ES"/>
        </w:rPr>
        <w:t xml:space="preserve"> y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1 minuto es de 0.00617. </w:t>
      </w:r>
    </w:p>
    <w:p w14:paraId="6FEF5242" w14:textId="18F04360" w:rsidR="000D6EDA" w:rsidRDefault="000D6EDA" w:rsidP="000D6EDA">
      <w:pPr>
        <w:ind w:left="360"/>
        <w:rPr>
          <w:lang w:val="es-ES"/>
        </w:rPr>
      </w:pPr>
    </w:p>
    <w:tbl>
      <w:tblPr>
        <w:tblW w:w="6460" w:type="dxa"/>
        <w:tblLook w:val="04A0" w:firstRow="1" w:lastRow="0" w:firstColumn="1" w:lastColumn="0" w:noHBand="0" w:noVBand="1"/>
      </w:tblPr>
      <w:tblGrid>
        <w:gridCol w:w="910"/>
        <w:gridCol w:w="586"/>
        <w:gridCol w:w="1776"/>
        <w:gridCol w:w="1776"/>
        <w:gridCol w:w="1412"/>
      </w:tblGrid>
      <w:tr w:rsidR="000D6EDA" w:rsidRPr="000D6EDA" w14:paraId="1372FF5C" w14:textId="77777777" w:rsidTr="000D6EDA">
        <w:trPr>
          <w:trHeight w:val="320"/>
        </w:trPr>
        <w:tc>
          <w:tcPr>
            <w:tcW w:w="64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98A8DE9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DA">
              <w:rPr>
                <w:rFonts w:ascii="Calibri" w:eastAsia="Times New Roman" w:hAnsi="Calibri" w:cs="Calibri"/>
                <w:b/>
                <w:bCs/>
                <w:color w:val="000000"/>
              </w:rPr>
              <w:t>Testing</w:t>
            </w:r>
          </w:p>
        </w:tc>
      </w:tr>
      <w:tr w:rsidR="000D6EDA" w:rsidRPr="000D6EDA" w14:paraId="06754D4C" w14:textId="77777777" w:rsidTr="000D6EDA">
        <w:trPr>
          <w:trHeight w:val="32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2C7C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7680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418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PCA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2D27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Balanced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3977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 minute</w:t>
            </w:r>
          </w:p>
        </w:tc>
      </w:tr>
      <w:tr w:rsidR="000D6EDA" w:rsidRPr="000D6EDA" w14:paraId="5B4E3F32" w14:textId="77777777" w:rsidTr="000D6EDA">
        <w:trPr>
          <w:trHeight w:val="34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FF86" w14:textId="77777777" w:rsidR="000D6EDA" w:rsidRPr="000D6EDA" w:rsidRDefault="000D6EDA" w:rsidP="000D6EDA">
            <w:pPr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2B1AA3F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4DD0250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7DAE7F37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0.99671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A535E1D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0.981481</w:t>
            </w:r>
          </w:p>
        </w:tc>
      </w:tr>
      <w:tr w:rsidR="000D6EDA" w:rsidRPr="000D6EDA" w14:paraId="1CEB75BA" w14:textId="77777777" w:rsidTr="000D6EDA">
        <w:trPr>
          <w:trHeight w:val="34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800" w14:textId="77777777" w:rsidR="000D6EDA" w:rsidRPr="000D6EDA" w:rsidRDefault="000D6EDA" w:rsidP="000D6EDA">
            <w:pPr>
              <w:rPr>
                <w:rFonts w:ascii="Calibri" w:eastAsia="Times New Roman" w:hAnsi="Calibri" w:cs="Calibri" w:hint="eastAsia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70CBD4FC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6B6B158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97D3A8"/>
            <w:noWrap/>
            <w:vAlign w:val="bottom"/>
            <w:hideMark/>
          </w:tcPr>
          <w:p w14:paraId="39BE6917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0.99671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8D27550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</w:p>
        </w:tc>
      </w:tr>
      <w:tr w:rsidR="000D6EDA" w:rsidRPr="000D6EDA" w14:paraId="4F800B47" w14:textId="77777777" w:rsidTr="000D6EDA">
        <w:trPr>
          <w:trHeight w:val="34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0171F" w14:textId="77777777" w:rsidR="000D6EDA" w:rsidRPr="000D6EDA" w:rsidRDefault="000D6EDA" w:rsidP="000D6EDA">
            <w:pPr>
              <w:rPr>
                <w:rFonts w:ascii="Calibri" w:eastAsia="Times New Roman" w:hAnsi="Calibri" w:cs="Calibri" w:hint="eastAsia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453BCBA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2B7C1BD1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0.990131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C9E8D3"/>
            <w:noWrap/>
            <w:vAlign w:val="bottom"/>
            <w:hideMark/>
          </w:tcPr>
          <w:p w14:paraId="5343D826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0.993421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6CC7FE9F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1</w:t>
            </w:r>
          </w:p>
        </w:tc>
      </w:tr>
      <w:tr w:rsidR="000D6EDA" w:rsidRPr="000D6EDA" w14:paraId="68DD0667" w14:textId="77777777" w:rsidTr="000D6EDA">
        <w:trPr>
          <w:trHeight w:val="320"/>
        </w:trPr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83D2" w14:textId="77777777" w:rsidR="000D6EDA" w:rsidRPr="000D6EDA" w:rsidRDefault="000D6EDA" w:rsidP="000D6EDA">
            <w:pPr>
              <w:rPr>
                <w:rFonts w:ascii="Calibri" w:eastAsia="Times New Roman" w:hAnsi="Calibri" w:cs="Calibri" w:hint="eastAsia"/>
                <w:b/>
                <w:bCs/>
                <w:color w:val="000000"/>
              </w:rPr>
            </w:pPr>
            <w:r w:rsidRPr="000D6EDA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8F7181C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9ADB0"/>
            <w:noWrap/>
            <w:vAlign w:val="bottom"/>
            <w:hideMark/>
          </w:tcPr>
          <w:p w14:paraId="5A64B7B9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0.99671033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000000" w:fill="F99395"/>
            <w:noWrap/>
            <w:vAlign w:val="bottom"/>
            <w:hideMark/>
          </w:tcPr>
          <w:p w14:paraId="64E90DF8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0.99561367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BC9D429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0.993827</w:t>
            </w:r>
          </w:p>
        </w:tc>
      </w:tr>
    </w:tbl>
    <w:p w14:paraId="5455706C" w14:textId="77777777" w:rsidR="000D6EDA" w:rsidRPr="000D6EDA" w:rsidRDefault="000D6EDA" w:rsidP="000D6EDA">
      <w:pPr>
        <w:ind w:left="360"/>
        <w:rPr>
          <w:lang w:val="es-ES"/>
        </w:rPr>
      </w:pPr>
    </w:p>
    <w:p w14:paraId="7BD79D95" w14:textId="7A8D257A" w:rsidR="00FA6C75" w:rsidRDefault="00FA6C75" w:rsidP="00FA6C75">
      <w:pPr>
        <w:ind w:left="360"/>
        <w:rPr>
          <w:lang w:val="es-ES"/>
        </w:rPr>
      </w:pPr>
    </w:p>
    <w:p w14:paraId="14BA19FC" w14:textId="77777777" w:rsidR="000D6EDA" w:rsidRDefault="000D6EDA">
      <w:pPr>
        <w:rPr>
          <w:lang w:val="es-ES"/>
        </w:rPr>
      </w:pPr>
      <w:r>
        <w:rPr>
          <w:lang w:val="es-ES"/>
        </w:rPr>
        <w:br w:type="page"/>
      </w:r>
    </w:p>
    <w:p w14:paraId="13E3A811" w14:textId="4B3393CE" w:rsidR="00FA6C75" w:rsidRPr="000D6EDA" w:rsidRDefault="00FA6C75" w:rsidP="00FA6C75">
      <w:pPr>
        <w:ind w:left="360"/>
        <w:rPr>
          <w:b/>
          <w:bCs/>
          <w:lang w:val="es-ES"/>
        </w:rPr>
      </w:pPr>
      <w:proofErr w:type="spellStart"/>
      <w:r w:rsidRPr="000D6EDA">
        <w:rPr>
          <w:b/>
          <w:bCs/>
          <w:lang w:val="es-ES"/>
        </w:rPr>
        <w:lastRenderedPageBreak/>
        <w:t>Dataset</w:t>
      </w:r>
      <w:proofErr w:type="spellEnd"/>
      <w:r w:rsidRPr="000D6EDA">
        <w:rPr>
          <w:b/>
          <w:bCs/>
          <w:lang w:val="es-ES"/>
        </w:rPr>
        <w:t xml:space="preserve"> </w:t>
      </w:r>
      <w:proofErr w:type="spellStart"/>
      <w:r w:rsidRPr="000D6EDA">
        <w:rPr>
          <w:b/>
          <w:bCs/>
          <w:lang w:val="es-ES"/>
        </w:rPr>
        <w:t>Dressing</w:t>
      </w:r>
      <w:proofErr w:type="spellEnd"/>
      <w:r w:rsidRPr="000D6EDA">
        <w:rPr>
          <w:b/>
          <w:bCs/>
          <w:lang w:val="es-ES"/>
        </w:rPr>
        <w:t xml:space="preserve"> </w:t>
      </w:r>
      <w:proofErr w:type="spellStart"/>
      <w:r w:rsidRPr="000D6EDA">
        <w:rPr>
          <w:b/>
          <w:bCs/>
          <w:lang w:val="es-ES"/>
        </w:rPr>
        <w:t>Room</w:t>
      </w:r>
      <w:proofErr w:type="spellEnd"/>
    </w:p>
    <w:p w14:paraId="343BF08C" w14:textId="3249519B" w:rsidR="00FA6C75" w:rsidRDefault="00FA6C75" w:rsidP="00FA6C7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reutilizó el script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del gimnasio: se leyó el archivo, se ajustaron nombres de columnas y tipos de datos, se corrigieron los pocos valores nulos.</w:t>
      </w:r>
    </w:p>
    <w:p w14:paraId="45407D2D" w14:textId="11C968D8" w:rsidR="00FA6C75" w:rsidRDefault="00FA6C75" w:rsidP="00FA6C7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detectó que en 6k/11k instancias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el campo de fecha estaba corrupto y no pudo ser recuperado. </w:t>
      </w:r>
    </w:p>
    <w:p w14:paraId="76C7E22F" w14:textId="79CE575A" w:rsidR="00FA6C75" w:rsidRDefault="00FA6C75" w:rsidP="00FA6C7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se promedio en conjuntos de 10 muestras sin respetar los cambios de día. </w:t>
      </w:r>
    </w:p>
    <w:p w14:paraId="7BFA1067" w14:textId="2C58DD71" w:rsidR="000D6EDA" w:rsidRDefault="000D6EDA" w:rsidP="00FA6C7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generaron los mismos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con PCA, y PCA con </w:t>
      </w:r>
      <w:proofErr w:type="spellStart"/>
      <w:r>
        <w:rPr>
          <w:lang w:val="es-ES"/>
        </w:rPr>
        <w:t>Oversampling</w:t>
      </w:r>
      <w:proofErr w:type="spellEnd"/>
      <w:r>
        <w:rPr>
          <w:lang w:val="es-ES"/>
        </w:rPr>
        <w:t xml:space="preserve"> usando ADASYN. </w:t>
      </w:r>
    </w:p>
    <w:p w14:paraId="683407D9" w14:textId="27DAD7FD" w:rsidR="000D6EDA" w:rsidRDefault="000D6EDA" w:rsidP="00FA6C7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 se pudo generar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con 1 muestra por minuto por el impedimento de la columna de fecha. </w:t>
      </w:r>
    </w:p>
    <w:p w14:paraId="5A414C61" w14:textId="0624EA80" w:rsidR="00304325" w:rsidRPr="00E859CF" w:rsidRDefault="000D6EDA" w:rsidP="00304325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obtuvieron resultados congruentes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del gimnasio, es decir, el mejor resultado se obtuvo con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sin procesar, pero los resultados con los otros dos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no fueron significativamente menores. </w:t>
      </w:r>
    </w:p>
    <w:p w14:paraId="0E163C64" w14:textId="4B85B504" w:rsidR="000D6EDA" w:rsidRPr="000D6EDA" w:rsidRDefault="000D6EDA" w:rsidP="000D6EDA">
      <w:pPr>
        <w:rPr>
          <w:lang w:val="es-ES"/>
        </w:rPr>
      </w:pPr>
    </w:p>
    <w:tbl>
      <w:tblPr>
        <w:tblW w:w="3527" w:type="dxa"/>
        <w:tblLook w:val="04A0" w:firstRow="1" w:lastRow="0" w:firstColumn="1" w:lastColumn="0" w:noHBand="0" w:noVBand="1"/>
      </w:tblPr>
      <w:tblGrid>
        <w:gridCol w:w="794"/>
        <w:gridCol w:w="1129"/>
        <w:gridCol w:w="1372"/>
        <w:gridCol w:w="1372"/>
        <w:gridCol w:w="222"/>
      </w:tblGrid>
      <w:tr w:rsidR="000D6EDA" w:rsidRPr="000D6EDA" w14:paraId="4F2320F2" w14:textId="77777777" w:rsidTr="000D6EDA">
        <w:trPr>
          <w:trHeight w:val="353"/>
        </w:trPr>
        <w:tc>
          <w:tcPr>
            <w:tcW w:w="35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F376D9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DA">
              <w:rPr>
                <w:rFonts w:ascii="Calibri" w:eastAsia="Times New Roman" w:hAnsi="Calibri" w:cs="Calibri"/>
                <w:b/>
                <w:bCs/>
                <w:color w:val="000000"/>
              </w:rPr>
              <w:t>Testing</w:t>
            </w:r>
          </w:p>
        </w:tc>
      </w:tr>
      <w:tr w:rsidR="000D6EDA" w:rsidRPr="000D6EDA" w14:paraId="38EDFBE5" w14:textId="77777777" w:rsidTr="000D6EDA">
        <w:trPr>
          <w:trHeight w:val="353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D403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2060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Avg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DFF0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PCA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C497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Balanced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BCDB" w14:textId="77777777" w:rsidR="000D6EDA" w:rsidRPr="000D6EDA" w:rsidRDefault="000D6EDA" w:rsidP="000D6ED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D6EDA" w:rsidRPr="000D6EDA" w14:paraId="3CEE1A79" w14:textId="77777777" w:rsidTr="000D6EDA">
        <w:trPr>
          <w:trHeight w:val="375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4DF8" w14:textId="77777777" w:rsidR="000D6EDA" w:rsidRPr="000D6EDA" w:rsidRDefault="000D6EDA" w:rsidP="000D6EDA">
            <w:pPr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23ECEB67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0.996721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530F8CC2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0.996721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697CD1D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0.996721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94D2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</w:p>
        </w:tc>
      </w:tr>
      <w:tr w:rsidR="000D6EDA" w:rsidRPr="000D6EDA" w14:paraId="3EE68A6D" w14:textId="77777777" w:rsidTr="000D6EDA">
        <w:trPr>
          <w:trHeight w:val="375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7A2A" w14:textId="77777777" w:rsidR="000D6EDA" w:rsidRPr="000D6EDA" w:rsidRDefault="000D6EDA" w:rsidP="000D6EDA">
            <w:pPr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KNN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6AD4772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6E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0.996721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14:paraId="109A9E02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0.996721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8ACE9D"/>
            <w:noWrap/>
            <w:vAlign w:val="bottom"/>
            <w:hideMark/>
          </w:tcPr>
          <w:p w14:paraId="16AC720B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0.993442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D620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</w:p>
        </w:tc>
      </w:tr>
      <w:tr w:rsidR="000D6EDA" w:rsidRPr="000D6EDA" w14:paraId="4C83022A" w14:textId="77777777" w:rsidTr="000D6EDA">
        <w:trPr>
          <w:trHeight w:val="375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5ABB" w14:textId="77777777" w:rsidR="000D6EDA" w:rsidRPr="000D6EDA" w:rsidRDefault="000D6EDA" w:rsidP="000D6EDA">
            <w:pPr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DT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B0DEBE"/>
            <w:noWrap/>
            <w:vAlign w:val="bottom"/>
            <w:hideMark/>
          </w:tcPr>
          <w:p w14:paraId="57FA7752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D6ED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0.990163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D6EDDE"/>
            <w:noWrap/>
            <w:vAlign w:val="bottom"/>
            <w:hideMark/>
          </w:tcPr>
          <w:p w14:paraId="3EC07841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0.986885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8D22BED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  <w:r w:rsidRPr="000D6EDA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0.983606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2CE4" w14:textId="77777777" w:rsidR="000D6EDA" w:rsidRPr="000D6EDA" w:rsidRDefault="000D6EDA" w:rsidP="000D6EDA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</w:pPr>
          </w:p>
        </w:tc>
      </w:tr>
      <w:tr w:rsidR="000D6EDA" w:rsidRPr="000D6EDA" w14:paraId="4F9F1A6B" w14:textId="77777777" w:rsidTr="000D6EDA">
        <w:trPr>
          <w:trHeight w:val="353"/>
        </w:trPr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EF35" w14:textId="77777777" w:rsidR="000D6EDA" w:rsidRPr="000D6EDA" w:rsidRDefault="000D6EDA" w:rsidP="000D6ED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6EDA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144397F4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0.994535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ACBCD"/>
            <w:noWrap/>
            <w:vAlign w:val="bottom"/>
            <w:hideMark/>
          </w:tcPr>
          <w:p w14:paraId="00291B00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0.99344233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3FD7AAF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6EDA">
              <w:rPr>
                <w:rFonts w:ascii="Calibri" w:eastAsia="Times New Roman" w:hAnsi="Calibri" w:cs="Calibri"/>
                <w:color w:val="000000"/>
              </w:rPr>
              <w:t>0.99125633</w:t>
            </w:r>
          </w:p>
        </w:tc>
        <w:tc>
          <w:tcPr>
            <w:tcW w:w="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6171" w14:textId="77777777" w:rsidR="000D6EDA" w:rsidRPr="000D6EDA" w:rsidRDefault="000D6EDA" w:rsidP="000D6ED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0789732" w14:textId="77777777" w:rsidR="000D6EDA" w:rsidRPr="000D6EDA" w:rsidRDefault="000D6EDA" w:rsidP="000D6EDA">
      <w:pPr>
        <w:rPr>
          <w:lang w:val="es-ES"/>
        </w:rPr>
      </w:pPr>
    </w:p>
    <w:sectPr w:rsidR="000D6EDA" w:rsidRPr="000D6EDA" w:rsidSect="00F5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66E83"/>
    <w:multiLevelType w:val="hybridMultilevel"/>
    <w:tmpl w:val="DEDA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74DAD"/>
    <w:multiLevelType w:val="hybridMultilevel"/>
    <w:tmpl w:val="34AC1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93"/>
    <w:rsid w:val="000D6EDA"/>
    <w:rsid w:val="00247ED4"/>
    <w:rsid w:val="00304325"/>
    <w:rsid w:val="00A22B93"/>
    <w:rsid w:val="00C92C93"/>
    <w:rsid w:val="00E859CF"/>
    <w:rsid w:val="00F540CB"/>
    <w:rsid w:val="00F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8E9D3"/>
  <w15:chartTrackingRefBased/>
  <w15:docId w15:val="{CF24EF92-790A-F940-A9D8-BD429B79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Andreé Vela Miam</dc:creator>
  <cp:keywords/>
  <dc:description/>
  <cp:lastModifiedBy>Irving Andreé Vela Miam</cp:lastModifiedBy>
  <cp:revision>2</cp:revision>
  <dcterms:created xsi:type="dcterms:W3CDTF">2020-07-17T21:57:00Z</dcterms:created>
  <dcterms:modified xsi:type="dcterms:W3CDTF">2020-07-21T23:00:00Z</dcterms:modified>
</cp:coreProperties>
</file>