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Interviews Management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40"/>
          <w:szCs w:val="40"/>
          <w:rtl w:val="0"/>
        </w:rPr>
        <w:t xml:space="preserve">candidates, interviews, tests, questions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Descrierea aplicatiei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asistă organizațiile în sprijinirea angajaților cu inceperea carierei lor individuale, oferă personalului de HR instrumente care urmăresc progresul, abilitățile și experiența angajaților, îi ajută pe angajați să-și evidentieze abilitățile și să identifice obiectivele de carieră.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User story: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calitate de candidat, trebuie sa am posibilitatea de a-mi depune CV-ul pentru angajare.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calitate de responsabil1 HR, trebuie sa am posibilitatea de a vizualiza CV-ul candidatilor ca sa ii pot contacta pentru programarea interviului.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calitate de responsabil2 HR, trebuie sa preiau informatiile necesare despre candidat de la responsabil1 HR pentru a-i putea pregati intrebarile potrivite.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calitate de angajator, triez candidatii in functie de rezultatele obtinute de acestia la cele doua probe si trebuie sa preiau informatiile necesare despre candidat de la responsabil2 HR pentru a-i putea pregati candidatului testele corespunzatoare.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calitate de responsabil3 HR, trebuie sa preiau candidatii nominalizati sau nu de catre angajator, pentru a le oferi un raspuns.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521373</wp:posOffset>
            </wp:positionV>
            <wp:extent cx="7468874" cy="17244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8874" cy="1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Diagrama use case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Diagrama UML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