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b/>
          <w:sz w:val="24"/>
        </w:rPr>
        <w:t>REPORT DI RIVALUTAZIONE SPERIMENTALE</w:t>
      </w:r>
    </w:p>
    <w:p>
      <w:pPr>
        <w:pStyle w:val="Title"/>
        <w:spacing w:after="100"/>
        <w:jc w:val="center"/>
      </w:pPr>
      <w:r>
        <w:t>Rivalutazione del modello di deployment dopo la validazione sul prototipo Android</w:t>
      </w:r>
    </w:p>
    <w:p>
      <w:pPr>
        <w:spacing w:after="100"/>
        <w:jc w:val="center"/>
      </w:pPr>
      <w:r>
        <w:rPr>
          <w:sz w:val="24"/>
        </w:rPr>
        <w:t>Confronto post-deployment tra LFM2-700M_GPTPlus-DS e LFM2-700M_Claude-DS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shd w:fill="E9EEF5"/>
            <w:tcMar>
              <w:top w:w="90" w:type="dxa"/>
              <w:start w:w="100" w:type="dxa"/>
              <w:bottom w:w="90" w:type="dxa"/>
              <w:end w:w="100" w:type="dxa"/>
            </w:tcMar>
            <w:vAlign w:val="center"/>
          </w:tcPr>
          <w:p>
            <w:r>
              <w:rPr>
                <w:b/>
              </w:rPr>
              <w:t>Progetto</w:t>
            </w:r>
          </w:p>
        </w:tc>
        <w:tc>
          <w:tcPr>
            <w:tcW w:type="dxa" w:w="4968"/>
            <w:tcMar>
              <w:top w:w="90" w:type="dxa"/>
              <w:start w:w="100" w:type="dxa"/>
              <w:bottom w:w="90" w:type="dxa"/>
              <w:end w:w="100" w:type="dxa"/>
            </w:tcMar>
            <w:vAlign w:val="center"/>
          </w:tcPr>
          <w:p>
            <w:r>
              <w:t>Edge AI for Smart Bank Transfers</w:t>
            </w:r>
          </w:p>
        </w:tc>
      </w:tr>
      <w:tr>
        <w:trPr>
          <w:cantSplit/>
        </w:trPr>
        <w:tc>
          <w:tcPr>
            <w:tcW w:type="dxa" w:w="4968"/>
            <w:shd w:fill="E9EEF5"/>
            <w:tcMar>
              <w:top w:w="90" w:type="dxa"/>
              <w:start w:w="100" w:type="dxa"/>
              <w:bottom w:w="90" w:type="dxa"/>
              <w:end w:w="100" w:type="dxa"/>
            </w:tcMar>
            <w:vAlign w:val="center"/>
          </w:tcPr>
          <w:p>
            <w:r>
              <w:rPr>
                <w:b/>
              </w:rPr>
              <w:t>Data</w:t>
            </w:r>
          </w:p>
        </w:tc>
        <w:tc>
          <w:tcPr>
            <w:tcW w:type="dxa" w:w="4968"/>
            <w:tcMar>
              <w:top w:w="90" w:type="dxa"/>
              <w:start w:w="100" w:type="dxa"/>
              <w:bottom w:w="90" w:type="dxa"/>
              <w:end w:w="100" w:type="dxa"/>
            </w:tcMar>
            <w:vAlign w:val="center"/>
          </w:tcPr>
          <w:p>
            <w:r>
              <w:t>31 agosto 2026</w:t>
            </w:r>
          </w:p>
        </w:tc>
      </w:tr>
      <w:tr>
        <w:trPr>
          <w:cantSplit/>
        </w:trPr>
        <w:tc>
          <w:tcPr>
            <w:tcW w:type="dxa" w:w="4968"/>
            <w:shd w:fill="E9EEF5"/>
            <w:tcMar>
              <w:top w:w="90" w:type="dxa"/>
              <w:start w:w="100" w:type="dxa"/>
              <w:bottom w:w="90" w:type="dxa"/>
              <w:end w:w="100" w:type="dxa"/>
            </w:tcMar>
            <w:vAlign w:val="center"/>
          </w:tcPr>
          <w:p>
            <w:r>
              <w:rPr>
                <w:b/>
              </w:rPr>
              <w:t>Fase</w:t>
            </w:r>
          </w:p>
        </w:tc>
        <w:tc>
          <w:tcPr>
            <w:tcW w:type="dxa" w:w="4968"/>
            <w:tcMar>
              <w:top w:w="90" w:type="dxa"/>
              <w:start w:w="100" w:type="dxa"/>
              <w:bottom w:w="90" w:type="dxa"/>
              <w:end w:w="100" w:type="dxa"/>
            </w:tcMar>
            <w:vAlign w:val="center"/>
          </w:tcPr>
          <w:p>
            <w:r>
              <w:t>Validazione sul dispositivo Android reale</w:t>
            </w:r>
          </w:p>
        </w:tc>
      </w:tr>
      <w:tr>
        <w:trPr>
          <w:cantSplit/>
        </w:trPr>
        <w:tc>
          <w:tcPr>
            <w:tcW w:type="dxa" w:w="4968"/>
            <w:shd w:fill="E9EEF5"/>
            <w:tcMar>
              <w:top w:w="90" w:type="dxa"/>
              <w:start w:w="100" w:type="dxa"/>
              <w:bottom w:w="90" w:type="dxa"/>
              <w:end w:w="100" w:type="dxa"/>
            </w:tcMar>
            <w:vAlign w:val="center"/>
          </w:tcPr>
          <w:p>
            <w:r>
              <w:rPr>
                <w:b/>
              </w:rPr>
              <w:t>Decisione aggiornata</w:t>
            </w:r>
          </w:p>
        </w:tc>
        <w:tc>
          <w:tcPr>
            <w:tcW w:type="dxa" w:w="4968"/>
            <w:tcMar>
              <w:top w:w="90" w:type="dxa"/>
              <w:start w:w="100" w:type="dxa"/>
              <w:bottom w:w="90" w:type="dxa"/>
              <w:end w:w="100" w:type="dxa"/>
            </w:tcMar>
            <w:vAlign w:val="center"/>
          </w:tcPr>
          <w:p>
            <w:r>
              <w:t>LFM2-700M_Claude-DS selezionato come candidato finale di deployment, subordinatamente ai benchmark finali di performance e stabilità</w:t>
            </w:r>
          </w:p>
        </w:tc>
      </w:tr>
    </w:tbl>
    <w:p>
      <w:pPr>
        <w:spacing w:after="100"/>
      </w:pPr>
      <w:r>
        <w:rPr>
          <w:b/>
        </w:rPr>
        <w:t xml:space="preserve">Esito sintetico. </w:t>
      </w:r>
      <w:r>
        <w:t>La precedente selezione di GPTPlus-DS rimane metodologicamente valida rispetto ai criteri pre-deployment. La validazione nel prototipo reale ha però mostrato che la diversità semantica delle alternative ha un valore d’uso maggiore del peso inizialmente assegnato. Claude-DS offre più spesso riformulazioni realmente differenti e contestualmente utili, pur mantenendo output coerenti nei test manuali effettuati sul dispositivo.</w:t>
      </w:r>
    </w:p>
    <w:p>
      <w:pPr>
        <w:pStyle w:val="Heading1"/>
        <w:keepNext/>
        <w:spacing w:after="100"/>
      </w:pPr>
      <w:r>
        <w:t>1. Obiettivo della rivalutazione</w:t>
      </w:r>
    </w:p>
    <w:p>
      <w:pPr>
        <w:spacing w:after="100"/>
      </w:pPr>
      <w:r>
        <w:rPr>
          <w:b/>
        </w:rPr>
        <w:t xml:space="preserve">Questo report non sostituisce né invalida il precedente report di model selection. </w:t>
      </w:r>
      <w:r>
        <w:t>L’obiettivo è documentare una rivalutazione successiva alla conversione GGUF, alla quantizzazione Q5_K_M e all’integrazione del modello nel prototipo Flutter/Android con inferenza completamente on-device. La rivalutazione nasce da un’evidenza emersa durante l’uso reale dell’interfaccia: la qualità percepita delle due alternative dipende non solo dalla fedeltà task-specific, ma anche dalla capacità del modello di proporre formulazioni realmente diverse e utili all’utente.</w:t>
      </w:r>
    </w:p>
    <w:p>
      <w:pPr>
        <w:pStyle w:val="Heading1"/>
        <w:keepNext/>
        <w:spacing w:after="100"/>
      </w:pPr>
      <w:r>
        <w:t>2. Decisione pre-deployment e motivazione originaria</w:t>
      </w:r>
    </w:p>
    <w:p>
      <w:pPr>
        <w:spacing w:after="100"/>
      </w:pPr>
      <w:r>
        <w:t>Nel benchmark precedente, GPTPlus-DS era stato selezionato per il deployment sulla base di quattro elementi principali: migliori metriche aggregate, prestazioni cross-dataset comparabili, maggiore preservazione del prefisso nelle attività di completion e maggiore utilizzo delle informazioni specifiche della transazione. Claude-DS era già risultato nettamente superiore nella diversità lessicale tra le due alternative, ma tale vantaggio era stato considerato secondario rispetto alla fedeltà all’input.</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2F3"/>
            <w:tcMar>
              <w:top w:w="90" w:type="dxa"/>
              <w:start w:w="100" w:type="dxa"/>
              <w:bottom w:w="90" w:type="dxa"/>
              <w:end w:w="100" w:type="dxa"/>
            </w:tcMar>
          </w:tcPr>
          <w:p>
            <w:r>
              <w:rPr>
                <w:b/>
              </w:rPr>
              <w:t>Indicatore già osservato</w:t>
            </w:r>
          </w:p>
        </w:tc>
        <w:tc>
          <w:tcPr>
            <w:tcW w:type="dxa" w:w="3312"/>
            <w:shd w:fill="D9E2F3"/>
            <w:tcMar>
              <w:top w:w="90" w:type="dxa"/>
              <w:start w:w="100" w:type="dxa"/>
              <w:bottom w:w="90" w:type="dxa"/>
              <w:end w:w="100" w:type="dxa"/>
            </w:tcMar>
          </w:tcPr>
          <w:p>
            <w:r>
              <w:rPr>
                <w:b/>
              </w:rPr>
              <w:t>GPTPlus-DS</w:t>
            </w:r>
          </w:p>
        </w:tc>
        <w:tc>
          <w:tcPr>
            <w:tcW w:type="dxa" w:w="3312"/>
            <w:shd w:fill="D9E2F3"/>
            <w:tcMar>
              <w:top w:w="90" w:type="dxa"/>
              <w:start w:w="100" w:type="dxa"/>
              <w:bottom w:w="90" w:type="dxa"/>
              <w:end w:w="100" w:type="dxa"/>
            </w:tcMar>
          </w:tcPr>
          <w:p>
            <w:r>
              <w:rPr>
                <w:b/>
              </w:rPr>
              <w:t>Claude-DS</w:t>
            </w:r>
          </w:p>
        </w:tc>
      </w:tr>
      <w:tr>
        <w:trPr>
          <w:cantSplit/>
        </w:trPr>
        <w:tc>
          <w:tcPr>
            <w:tcW w:type="dxa" w:w="3312"/>
            <w:tcMar>
              <w:top w:w="90" w:type="dxa"/>
              <w:start w:w="100" w:type="dxa"/>
              <w:bottom w:w="90" w:type="dxa"/>
              <w:end w:w="100" w:type="dxa"/>
            </w:tcMar>
          </w:tcPr>
          <w:p>
            <w:r>
              <w:t>Jaccard medio tra le due alternative</w:t>
            </w:r>
          </w:p>
        </w:tc>
        <w:tc>
          <w:tcPr>
            <w:tcW w:type="dxa" w:w="3312"/>
            <w:tcMar>
              <w:top w:w="90" w:type="dxa"/>
              <w:start w:w="100" w:type="dxa"/>
              <w:bottom w:w="90" w:type="dxa"/>
              <w:end w:w="100" w:type="dxa"/>
            </w:tcMar>
          </w:tcPr>
          <w:p>
            <w:r>
              <w:t>0.814</w:t>
            </w:r>
          </w:p>
        </w:tc>
        <w:tc>
          <w:tcPr>
            <w:tcW w:type="dxa" w:w="3312"/>
            <w:tcMar>
              <w:top w:w="90" w:type="dxa"/>
              <w:start w:w="100" w:type="dxa"/>
              <w:bottom w:w="90" w:type="dxa"/>
              <w:end w:w="100" w:type="dxa"/>
            </w:tcMar>
          </w:tcPr>
          <w:p>
            <w:r>
              <w:t>0.355</w:t>
            </w:r>
          </w:p>
        </w:tc>
      </w:tr>
      <w:tr>
        <w:trPr>
          <w:cantSplit/>
        </w:trPr>
        <w:tc>
          <w:tcPr>
            <w:tcW w:type="dxa" w:w="3312"/>
            <w:tcMar>
              <w:top w:w="90" w:type="dxa"/>
              <w:start w:w="100" w:type="dxa"/>
              <w:bottom w:w="90" w:type="dxa"/>
              <w:end w:w="100" w:type="dxa"/>
            </w:tcMar>
          </w:tcPr>
          <w:p>
            <w:r>
              <w:t>Una alternativa contiene tutto il token-set dell’altra</w:t>
            </w:r>
          </w:p>
        </w:tc>
        <w:tc>
          <w:tcPr>
            <w:tcW w:type="dxa" w:w="3312"/>
            <w:tcMar>
              <w:top w:w="90" w:type="dxa"/>
              <w:start w:w="100" w:type="dxa"/>
              <w:bottom w:w="90" w:type="dxa"/>
              <w:end w:w="100" w:type="dxa"/>
            </w:tcMar>
          </w:tcPr>
          <w:p>
            <w:r>
              <w:t>87.5%</w:t>
            </w:r>
          </w:p>
        </w:tc>
        <w:tc>
          <w:tcPr>
            <w:tcW w:type="dxa" w:w="3312"/>
            <w:tcMar>
              <w:top w:w="90" w:type="dxa"/>
              <w:start w:w="100" w:type="dxa"/>
              <w:bottom w:w="90" w:type="dxa"/>
              <w:end w:w="100" w:type="dxa"/>
            </w:tcMar>
          </w:tcPr>
          <w:p>
            <w:r>
              <w:t>16.6%</w:t>
            </w:r>
          </w:p>
        </w:tc>
      </w:tr>
      <w:tr>
        <w:trPr>
          <w:cantSplit/>
        </w:trPr>
        <w:tc>
          <w:tcPr>
            <w:tcW w:type="dxa" w:w="3312"/>
            <w:tcMar>
              <w:top w:w="90" w:type="dxa"/>
              <w:start w:w="100" w:type="dxa"/>
              <w:bottom w:w="90" w:type="dxa"/>
              <w:end w:w="100" w:type="dxa"/>
            </w:tcMar>
          </w:tcPr>
          <w:p>
            <w:r>
              <w:t>Preservazione prefisso in COMPLETION</w:t>
            </w:r>
          </w:p>
        </w:tc>
        <w:tc>
          <w:tcPr>
            <w:tcW w:type="dxa" w:w="3312"/>
            <w:tcMar>
              <w:top w:w="90" w:type="dxa"/>
              <w:start w:w="100" w:type="dxa"/>
              <w:bottom w:w="90" w:type="dxa"/>
              <w:end w:w="100" w:type="dxa"/>
            </w:tcMar>
          </w:tcPr>
          <w:p>
            <w:r>
              <w:t>88.7%</w:t>
            </w:r>
          </w:p>
        </w:tc>
        <w:tc>
          <w:tcPr>
            <w:tcW w:type="dxa" w:w="3312"/>
            <w:tcMar>
              <w:top w:w="90" w:type="dxa"/>
              <w:start w:w="100" w:type="dxa"/>
              <w:bottom w:w="90" w:type="dxa"/>
              <w:end w:w="100" w:type="dxa"/>
            </w:tcMar>
          </w:tcPr>
          <w:p>
            <w:r>
              <w:t>38.7%</w:t>
            </w:r>
          </w:p>
        </w:tc>
      </w:tr>
      <w:tr>
        <w:trPr>
          <w:cantSplit/>
        </w:trPr>
        <w:tc>
          <w:tcPr>
            <w:tcW w:type="dxa" w:w="3312"/>
            <w:tcMar>
              <w:top w:w="90" w:type="dxa"/>
              <w:start w:w="100" w:type="dxa"/>
              <w:bottom w:w="90" w:type="dxa"/>
              <w:end w:w="100" w:type="dxa"/>
            </w:tcMar>
          </w:tcPr>
          <w:p>
            <w:r>
              <w:t>Beneficiario menzionato</w:t>
            </w:r>
          </w:p>
        </w:tc>
        <w:tc>
          <w:tcPr>
            <w:tcW w:type="dxa" w:w="3312"/>
            <w:tcMar>
              <w:top w:w="90" w:type="dxa"/>
              <w:start w:w="100" w:type="dxa"/>
              <w:bottom w:w="90" w:type="dxa"/>
              <w:end w:w="100" w:type="dxa"/>
            </w:tcMar>
          </w:tcPr>
          <w:p>
            <w:r>
              <w:t>41.1%</w:t>
            </w:r>
          </w:p>
        </w:tc>
        <w:tc>
          <w:tcPr>
            <w:tcW w:type="dxa" w:w="3312"/>
            <w:tcMar>
              <w:top w:w="90" w:type="dxa"/>
              <w:start w:w="100" w:type="dxa"/>
              <w:bottom w:w="90" w:type="dxa"/>
              <w:end w:w="100" w:type="dxa"/>
            </w:tcMar>
          </w:tcPr>
          <w:p>
            <w:r>
              <w:t>23.3%</w:t>
            </w:r>
          </w:p>
        </w:tc>
      </w:tr>
    </w:tbl>
    <w:p>
      <w:pPr>
        <w:pStyle w:val="Heading1"/>
        <w:keepNext/>
        <w:spacing w:after="100"/>
      </w:pPr>
      <w:r>
        <w:t>3. Nuova evidenza emersa nel prototipo reale</w:t>
      </w:r>
    </w:p>
    <w:p>
      <w:pPr>
        <w:spacing w:after="100"/>
      </w:pPr>
      <w:r>
        <w:t>Dopo l’integrazione su Android, il comportamento di GPTPlus-DS è risultato coerente con quanto già misurato: le due causali sono generalmente molto aderenti ai dati, ma spesso differiscono soprattutto per ordine delle parole o struttura sintattica. Questo limite è diventato più evidente nell’interfaccia reale, dove le due proposte sono mostrate contemporaneamente e devono rappresentare una scelta effettiva per l’utente.</w:t>
      </w:r>
    </w:p>
    <w:p>
      <w:pPr>
        <w:spacing w:after="100"/>
      </w:pPr>
      <w:r>
        <w:t>Claude-DS, provato con la stessa architettura di inferenza e quantizzazione Q5_K_M, ha invece mostrato una maggiore tendenza a introdurre riformulazioni contestualmente plausibili, ad esempio “policy premium”, “settlement” o “tuition fee”. Nella rivalutazione tali aggiunte non sono considerate automaticamente errori: sono accettabili quando rimangono coerenti con il contesto e non introducono fatti specifici in contraddizione con i dati disponibili.</w:t>
      </w:r>
    </w:p>
    <w:p>
      <w:pPr>
        <w:pStyle w:val="Heading1"/>
        <w:keepNext/>
        <w:spacing w:after="100"/>
      </w:pPr>
      <w:r>
        <w:t>4. Configurazione della validazione manuale</w:t>
      </w:r>
    </w:p>
    <w:p>
      <w:pPr>
        <w:pStyle w:val="ListBullet"/>
        <w:spacing w:after="100"/>
      </w:pPr>
      <w:r>
        <w:t>Dispositivo: smartphone Android reale usato come target del prototipo.</w:t>
      </w:r>
    </w:p>
    <w:p>
      <w:pPr>
        <w:pStyle w:val="ListBullet"/>
        <w:spacing w:after="100"/>
      </w:pPr>
      <w:r>
        <w:t>Formato modello: GGUF quantizzato Q5_K_M.</w:t>
      </w:r>
    </w:p>
    <w:p>
      <w:pPr>
        <w:pStyle w:val="ListBullet"/>
        <w:spacing w:after="100"/>
      </w:pPr>
      <w:r>
        <w:t>Inference engine: llama.cpp integrato tramite bridge nativo Android.</w:t>
      </w:r>
    </w:p>
    <w:p>
      <w:pPr>
        <w:pStyle w:val="ListBullet"/>
        <w:spacing w:after="100"/>
      </w:pPr>
      <w:r>
        <w:t>Decoding: greedy, mantenuto invariato per evitare che la differenza tra modelli dipendesse dal sampling.</w:t>
      </w:r>
    </w:p>
    <w:p>
      <w:pPr>
        <w:pStyle w:val="ListBullet"/>
        <w:spacing w:after="100"/>
      </w:pPr>
      <w:r>
        <w:t>Prompt: stessi template SFT usati dall’app per Generation, Completion e Normalization.</w:t>
      </w:r>
    </w:p>
    <w:p>
      <w:pPr>
        <w:pStyle w:val="ListBullet"/>
        <w:spacing w:after="100"/>
      </w:pPr>
      <w:r>
        <w:t>Calendar context: verificato separatamente nella modalità Generation.</w:t>
      </w:r>
    </w:p>
    <w:p>
      <w:pPr>
        <w:pStyle w:val="Heading1"/>
        <w:keepNext/>
        <w:spacing w:after="100"/>
      </w:pPr>
      <w:r>
        <w:t>5. Risultati osservati con Claude-DS Q5_K_M</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shd w:fill="D9E2F3"/>
            <w:tcMar>
              <w:top w:w="90" w:type="dxa"/>
              <w:start w:w="100" w:type="dxa"/>
              <w:bottom w:w="90" w:type="dxa"/>
              <w:end w:w="100" w:type="dxa"/>
            </w:tcMar>
          </w:tcPr>
          <w:p>
            <w:r>
              <w:rPr>
                <w:b/>
              </w:rPr>
              <w:t>Caso</w:t>
            </w:r>
          </w:p>
        </w:tc>
        <w:tc>
          <w:tcPr>
            <w:tcW w:type="dxa" w:w="2484"/>
            <w:shd w:fill="D9E2F3"/>
            <w:tcMar>
              <w:top w:w="90" w:type="dxa"/>
              <w:start w:w="100" w:type="dxa"/>
              <w:bottom w:w="90" w:type="dxa"/>
              <w:end w:w="100" w:type="dxa"/>
            </w:tcMar>
          </w:tcPr>
          <w:p>
            <w:r>
              <w:rPr>
                <w:b/>
              </w:rPr>
              <w:t>Input sintetico</w:t>
            </w:r>
          </w:p>
        </w:tc>
        <w:tc>
          <w:tcPr>
            <w:tcW w:type="dxa" w:w="2484"/>
            <w:shd w:fill="D9E2F3"/>
            <w:tcMar>
              <w:top w:w="90" w:type="dxa"/>
              <w:start w:w="100" w:type="dxa"/>
              <w:bottom w:w="90" w:type="dxa"/>
              <w:end w:w="100" w:type="dxa"/>
            </w:tcMar>
          </w:tcPr>
          <w:p>
            <w:r>
              <w:rPr>
                <w:b/>
              </w:rPr>
              <w:t>Alternativa 1</w:t>
            </w:r>
          </w:p>
        </w:tc>
        <w:tc>
          <w:tcPr>
            <w:tcW w:type="dxa" w:w="2484"/>
            <w:shd w:fill="D9E2F3"/>
            <w:tcMar>
              <w:top w:w="90" w:type="dxa"/>
              <w:start w:w="100" w:type="dxa"/>
              <w:bottom w:w="90" w:type="dxa"/>
              <w:end w:w="100" w:type="dxa"/>
            </w:tcMar>
          </w:tcPr>
          <w:p>
            <w:r>
              <w:rPr>
                <w:b/>
              </w:rPr>
              <w:t>Alternativa 2</w:t>
            </w:r>
          </w:p>
        </w:tc>
      </w:tr>
      <w:tr>
        <w:trPr>
          <w:cantSplit/>
        </w:trPr>
        <w:tc>
          <w:tcPr>
            <w:tcW w:type="dxa" w:w="2484"/>
            <w:tcMar>
              <w:top w:w="90" w:type="dxa"/>
              <w:start w:w="100" w:type="dxa"/>
              <w:bottom w:w="90" w:type="dxa"/>
              <w:end w:w="100" w:type="dxa"/>
            </w:tcMar>
            <w:vAlign w:val="top"/>
          </w:tcPr>
          <w:p>
            <w:r>
              <w:t>Generation - TAX</w:t>
            </w:r>
          </w:p>
        </w:tc>
        <w:tc>
          <w:tcPr>
            <w:tcW w:type="dxa" w:w="2484"/>
            <w:tcMar>
              <w:top w:w="90" w:type="dxa"/>
              <w:start w:w="100" w:type="dxa"/>
              <w:bottom w:w="90" w:type="dxa"/>
              <w:end w:w="100" w:type="dxa"/>
            </w:tcMar>
            <w:vAlign w:val="top"/>
          </w:tcPr>
          <w:p>
            <w:r>
              <w:t>Allianz; 1000 EUR; TAX; September 2026</w:t>
            </w:r>
          </w:p>
        </w:tc>
        <w:tc>
          <w:tcPr>
            <w:tcW w:type="dxa" w:w="2484"/>
            <w:tcMar>
              <w:top w:w="90" w:type="dxa"/>
              <w:start w:w="100" w:type="dxa"/>
              <w:bottom w:w="90" w:type="dxa"/>
              <w:end w:w="100" w:type="dxa"/>
            </w:tcMar>
            <w:vAlign w:val="top"/>
          </w:tcPr>
          <w:p>
            <w:r>
              <w:t>Tax payment settlement</w:t>
            </w:r>
          </w:p>
        </w:tc>
        <w:tc>
          <w:tcPr>
            <w:tcW w:type="dxa" w:w="2484"/>
            <w:tcMar>
              <w:top w:w="90" w:type="dxa"/>
              <w:start w:w="100" w:type="dxa"/>
              <w:bottom w:w="90" w:type="dxa"/>
              <w:end w:w="100" w:type="dxa"/>
            </w:tcMar>
            <w:vAlign w:val="top"/>
          </w:tcPr>
          <w:p>
            <w:r>
              <w:t>Tax installment due September 2026</w:t>
            </w:r>
          </w:p>
        </w:tc>
      </w:tr>
      <w:tr>
        <w:trPr>
          <w:cantSplit/>
        </w:trPr>
        <w:tc>
          <w:tcPr>
            <w:tcW w:type="dxa" w:w="2484"/>
            <w:tcMar>
              <w:top w:w="90" w:type="dxa"/>
              <w:start w:w="100" w:type="dxa"/>
              <w:bottom w:w="90" w:type="dxa"/>
              <w:end w:w="100" w:type="dxa"/>
            </w:tcMar>
            <w:vAlign w:val="top"/>
          </w:tcPr>
          <w:p>
            <w:r>
              <w:t>Generation + Calendar</w:t>
            </w:r>
          </w:p>
        </w:tc>
        <w:tc>
          <w:tcPr>
            <w:tcW w:type="dxa" w:w="2484"/>
            <w:tcMar>
              <w:top w:w="90" w:type="dxa"/>
              <w:start w:w="100" w:type="dxa"/>
              <w:bottom w:w="90" w:type="dxa"/>
              <w:end w:w="100" w:type="dxa"/>
            </w:tcMar>
            <w:vAlign w:val="top"/>
          </w:tcPr>
          <w:p>
            <w:r>
              <w:t>Come sopra; evento “Car tax payment”; 1 September 2026</w:t>
            </w:r>
          </w:p>
        </w:tc>
        <w:tc>
          <w:tcPr>
            <w:tcW w:type="dxa" w:w="2484"/>
            <w:tcMar>
              <w:top w:w="90" w:type="dxa"/>
              <w:start w:w="100" w:type="dxa"/>
              <w:bottom w:w="90" w:type="dxa"/>
              <w:end w:w="100" w:type="dxa"/>
            </w:tcMar>
            <w:vAlign w:val="top"/>
          </w:tcPr>
          <w:p>
            <w:r>
              <w:t>Tax payment - car tax payment (1 September 2026)</w:t>
            </w:r>
          </w:p>
        </w:tc>
        <w:tc>
          <w:tcPr>
            <w:tcW w:type="dxa" w:w="2484"/>
            <w:tcMar>
              <w:top w:w="90" w:type="dxa"/>
              <w:start w:w="100" w:type="dxa"/>
              <w:bottom w:w="90" w:type="dxa"/>
              <w:end w:w="100" w:type="dxa"/>
            </w:tcMar>
            <w:vAlign w:val="top"/>
          </w:tcPr>
          <w:p>
            <w:r>
              <w:t>Tax payment due</w:t>
            </w:r>
          </w:p>
        </w:tc>
      </w:tr>
      <w:tr>
        <w:trPr>
          <w:cantSplit/>
        </w:trPr>
        <w:tc>
          <w:tcPr>
            <w:tcW w:type="dxa" w:w="2484"/>
            <w:tcMar>
              <w:top w:w="90" w:type="dxa"/>
              <w:start w:w="100" w:type="dxa"/>
              <w:bottom w:w="90" w:type="dxa"/>
              <w:end w:w="100" w:type="dxa"/>
            </w:tcMar>
            <w:vAlign w:val="top"/>
          </w:tcPr>
          <w:p>
            <w:r>
              <w:t>Completion - INSURANCE</w:t>
            </w:r>
          </w:p>
        </w:tc>
        <w:tc>
          <w:tcPr>
            <w:tcW w:type="dxa" w:w="2484"/>
            <w:tcMar>
              <w:top w:w="90" w:type="dxa"/>
              <w:start w:w="100" w:type="dxa"/>
              <w:bottom w:w="90" w:type="dxa"/>
              <w:end w:w="100" w:type="dxa"/>
            </w:tcMar>
            <w:vAlign w:val="top"/>
          </w:tcPr>
          <w:p>
            <w:r>
              <w:t>Allianz; 1000 EUR; September 2026; “Insurance payment for”</w:t>
            </w:r>
          </w:p>
        </w:tc>
        <w:tc>
          <w:tcPr>
            <w:tcW w:type="dxa" w:w="2484"/>
            <w:tcMar>
              <w:top w:w="90" w:type="dxa"/>
              <w:start w:w="100" w:type="dxa"/>
              <w:bottom w:w="90" w:type="dxa"/>
              <w:end w:w="100" w:type="dxa"/>
            </w:tcMar>
            <w:vAlign w:val="top"/>
          </w:tcPr>
          <w:p>
            <w:r>
              <w:t>Insurance payment for September 2026</w:t>
            </w:r>
          </w:p>
        </w:tc>
        <w:tc>
          <w:tcPr>
            <w:tcW w:type="dxa" w:w="2484"/>
            <w:tcMar>
              <w:top w:w="90" w:type="dxa"/>
              <w:start w:w="100" w:type="dxa"/>
              <w:bottom w:w="90" w:type="dxa"/>
              <w:end w:w="100" w:type="dxa"/>
            </w:tcMar>
            <w:vAlign w:val="top"/>
          </w:tcPr>
          <w:p>
            <w:r>
              <w:t>Policy premium due September 2026</w:t>
            </w:r>
          </w:p>
        </w:tc>
      </w:tr>
      <w:tr>
        <w:trPr>
          <w:cantSplit/>
        </w:trPr>
        <w:tc>
          <w:tcPr>
            <w:tcW w:type="dxa" w:w="2484"/>
            <w:tcMar>
              <w:top w:w="90" w:type="dxa"/>
              <w:start w:w="100" w:type="dxa"/>
              <w:bottom w:w="90" w:type="dxa"/>
              <w:end w:w="100" w:type="dxa"/>
            </w:tcMar>
            <w:vAlign w:val="top"/>
          </w:tcPr>
          <w:p>
            <w:r>
              <w:t>Normalization - INSURANCE</w:t>
            </w:r>
          </w:p>
        </w:tc>
        <w:tc>
          <w:tcPr>
            <w:tcW w:type="dxa" w:w="2484"/>
            <w:tcMar>
              <w:top w:w="90" w:type="dxa"/>
              <w:start w:w="100" w:type="dxa"/>
              <w:bottom w:w="90" w:type="dxa"/>
              <w:end w:w="100" w:type="dxa"/>
            </w:tcMar>
            <w:vAlign w:val="top"/>
          </w:tcPr>
          <w:p>
            <w:r>
              <w:t>“payment ALLIANZ insurance september 2026”</w:t>
            </w:r>
          </w:p>
        </w:tc>
        <w:tc>
          <w:tcPr>
            <w:tcW w:type="dxa" w:w="2484"/>
            <w:tcMar>
              <w:top w:w="90" w:type="dxa"/>
              <w:start w:w="100" w:type="dxa"/>
              <w:bottom w:w="90" w:type="dxa"/>
              <w:end w:w="100" w:type="dxa"/>
            </w:tcMar>
            <w:vAlign w:val="top"/>
          </w:tcPr>
          <w:p>
            <w:r>
              <w:t>Allianz: insurance payment, September 2026</w:t>
            </w:r>
          </w:p>
        </w:tc>
        <w:tc>
          <w:tcPr>
            <w:tcW w:type="dxa" w:w="2484"/>
            <w:tcMar>
              <w:top w:w="90" w:type="dxa"/>
              <w:start w:w="100" w:type="dxa"/>
              <w:bottom w:w="90" w:type="dxa"/>
              <w:end w:w="100" w:type="dxa"/>
            </w:tcMar>
            <w:vAlign w:val="top"/>
          </w:tcPr>
          <w:p>
            <w:r>
              <w:t>Insurance payment due September 2026</w:t>
            </w:r>
          </w:p>
        </w:tc>
      </w:tr>
      <w:tr>
        <w:trPr>
          <w:cantSplit/>
        </w:trPr>
        <w:tc>
          <w:tcPr>
            <w:tcW w:type="dxa" w:w="2484"/>
            <w:tcMar>
              <w:top w:w="90" w:type="dxa"/>
              <w:start w:w="100" w:type="dxa"/>
              <w:bottom w:w="90" w:type="dxa"/>
              <w:end w:w="100" w:type="dxa"/>
            </w:tcMar>
            <w:vAlign w:val="top"/>
          </w:tcPr>
          <w:p>
            <w:r>
              <w:t>Generation - RENT</w:t>
            </w:r>
          </w:p>
        </w:tc>
        <w:tc>
          <w:tcPr>
            <w:tcW w:type="dxa" w:w="2484"/>
            <w:tcMar>
              <w:top w:w="90" w:type="dxa"/>
              <w:start w:w="100" w:type="dxa"/>
              <w:bottom w:w="90" w:type="dxa"/>
              <w:end w:w="100" w:type="dxa"/>
            </w:tcMar>
            <w:vAlign w:val="top"/>
          </w:tcPr>
          <w:p>
            <w:r>
              <w:t>Bianchi Immobiliare SRL; 850 EUR; RENT; October 2026</w:t>
            </w:r>
          </w:p>
        </w:tc>
        <w:tc>
          <w:tcPr>
            <w:tcW w:type="dxa" w:w="2484"/>
            <w:tcMar>
              <w:top w:w="90" w:type="dxa"/>
              <w:start w:w="100" w:type="dxa"/>
              <w:bottom w:w="90" w:type="dxa"/>
              <w:end w:w="100" w:type="dxa"/>
            </w:tcMar>
            <w:vAlign w:val="top"/>
          </w:tcPr>
          <w:p>
            <w:r>
              <w:t>October 2026: rent payment</w:t>
            </w:r>
          </w:p>
        </w:tc>
        <w:tc>
          <w:tcPr>
            <w:tcW w:type="dxa" w:w="2484"/>
            <w:tcMar>
              <w:top w:w="90" w:type="dxa"/>
              <w:start w:w="100" w:type="dxa"/>
              <w:bottom w:w="90" w:type="dxa"/>
              <w:end w:w="100" w:type="dxa"/>
            </w:tcMar>
            <w:vAlign w:val="top"/>
          </w:tcPr>
          <w:p>
            <w:r>
              <w:t>October 2026 apartment rent settlement</w:t>
            </w:r>
          </w:p>
        </w:tc>
      </w:tr>
      <w:tr>
        <w:trPr>
          <w:cantSplit/>
        </w:trPr>
        <w:tc>
          <w:tcPr>
            <w:tcW w:type="dxa" w:w="2484"/>
            <w:tcMar>
              <w:top w:w="90" w:type="dxa"/>
              <w:start w:w="100" w:type="dxa"/>
              <w:bottom w:w="90" w:type="dxa"/>
              <w:end w:w="100" w:type="dxa"/>
            </w:tcMar>
            <w:vAlign w:val="top"/>
          </w:tcPr>
          <w:p>
            <w:r>
              <w:t>Generation - UNIVERSITY</w:t>
            </w:r>
          </w:p>
        </w:tc>
        <w:tc>
          <w:tcPr>
            <w:tcW w:type="dxa" w:w="2484"/>
            <w:tcMar>
              <w:top w:w="90" w:type="dxa"/>
              <w:start w:w="100" w:type="dxa"/>
              <w:bottom w:w="90" w:type="dxa"/>
              <w:end w:w="100" w:type="dxa"/>
            </w:tcMar>
            <w:vAlign w:val="top"/>
          </w:tcPr>
          <w:p>
            <w:r>
              <w:t>University of Bergamo; 420 EUR; UNIVERSITY; Academic year 2026/2027</w:t>
            </w:r>
          </w:p>
        </w:tc>
        <w:tc>
          <w:tcPr>
            <w:tcW w:type="dxa" w:w="2484"/>
            <w:tcMar>
              <w:top w:w="90" w:type="dxa"/>
              <w:start w:w="100" w:type="dxa"/>
              <w:bottom w:w="90" w:type="dxa"/>
              <w:end w:w="100" w:type="dxa"/>
            </w:tcMar>
            <w:vAlign w:val="top"/>
          </w:tcPr>
          <w:p>
            <w:r>
              <w:t>University tuition fee</w:t>
            </w:r>
          </w:p>
        </w:tc>
        <w:tc>
          <w:tcPr>
            <w:tcW w:type="dxa" w:w="2484"/>
            <w:tcMar>
              <w:top w:w="90" w:type="dxa"/>
              <w:start w:w="100" w:type="dxa"/>
              <w:bottom w:w="90" w:type="dxa"/>
              <w:end w:w="100" w:type="dxa"/>
            </w:tcMar>
            <w:vAlign w:val="top"/>
          </w:tcPr>
          <w:p>
            <w:r>
              <w:t>University tuition fee due</w:t>
            </w:r>
          </w:p>
        </w:tc>
      </w:tr>
    </w:tbl>
    <w:p>
      <w:pPr>
        <w:pStyle w:val="SmallNote"/>
        <w:spacing w:after="100"/>
      </w:pPr>
      <w:r>
        <w:rPr>
          <w:b/>
        </w:rPr>
        <w:t xml:space="preserve">Nota: </w:t>
      </w:r>
      <w:r>
        <w:t>il caso UNIVERSITY mostra anche il limite opposto: Claude-DS non produce sempre due formulazioni fortemente diverse. La maggiore diversità è una tendenza, non una garanzia per ogni singolo input.</w:t>
      </w:r>
    </w:p>
    <w:p>
      <w:pPr>
        <w:pStyle w:val="Heading1"/>
        <w:keepNext/>
        <w:spacing w:after="100"/>
      </w:pPr>
      <w:r>
        <w:t>6. Interpretazione dei risultati</w:t>
      </w:r>
    </w:p>
    <w:p>
      <w:pPr>
        <w:spacing w:after="100"/>
      </w:pPr>
      <w:r>
        <w:rPr>
          <w:b/>
        </w:rPr>
        <w:t xml:space="preserve">Diversità utile. </w:t>
      </w:r>
      <w:r>
        <w:t>Nei casi TAX, INSURANCE e RENT le due alternative differiscono in modo più sostanziale rispetto a semplici riordinamenti, offrendo una scelta reale all’utente.</w:t>
      </w:r>
    </w:p>
    <w:p>
      <w:pPr>
        <w:spacing w:after="100"/>
      </w:pPr>
      <w:r>
        <w:rPr>
          <w:b/>
        </w:rPr>
        <w:t xml:space="preserve">Uso del calendario. </w:t>
      </w:r>
      <w:r>
        <w:t>Il modello ha incorporato correttamente sia il titolo dell’evento sia la data nel test calendar-aware, mostrando che l’informazione aggiuntiva può essere sfruttata nel testo finale.</w:t>
      </w:r>
    </w:p>
    <w:p>
      <w:pPr>
        <w:spacing w:after="100"/>
      </w:pPr>
      <w:r>
        <w:rPr>
          <w:b/>
        </w:rPr>
        <w:t xml:space="preserve">Riformulazione contestuale. </w:t>
      </w:r>
      <w:r>
        <w:t>Espressioni come “policy premium”, “rent settlement” e “tuition fee” aggiungono valore come suggerimenti linguistici quando restano semanticamente compatibili con categoria e contesto.</w:t>
      </w:r>
    </w:p>
    <w:p>
      <w:pPr>
        <w:spacing w:after="100"/>
      </w:pPr>
      <w:r>
        <w:rPr>
          <w:b/>
        </w:rPr>
        <w:t xml:space="preserve">Limite residuo. </w:t>
      </w:r>
      <w:r>
        <w:t>Claude-DS può produrre alternative ancora molto simili, come nel caso UNIVERSITY. Il modello non elimina completamente il problema della ridondanza tra le due proposte.</w:t>
      </w:r>
    </w:p>
    <w:p>
      <w:pPr>
        <w:pStyle w:val="Heading1"/>
        <w:keepNext/>
        <w:spacing w:after="100"/>
      </w:pPr>
      <w:r>
        <w:t>7. Aggiornamento del criterio di selezione</w:t>
      </w:r>
    </w:p>
    <w:p>
      <w:pPr>
        <w:spacing w:after="100"/>
      </w:pPr>
      <w:r>
        <w:t>Il criterio pre-deployment privilegiava in modo molto forte la riproduzione fedele dei pattern del dataset e la conservazione letterale dell’input. Dopo l’uso nel prototipo, il criterio viene raffinato: per un assistente alla compilazione della causale, una riformulazione contestualmente coerente può essere desiderabile anche quando introduce termini non presenti parola per parola nell’input.</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shd w:fill="D9E2F3"/>
            <w:tcMar>
              <w:top w:w="90" w:type="dxa"/>
              <w:start w:w="100" w:type="dxa"/>
              <w:bottom w:w="90" w:type="dxa"/>
              <w:end w:w="100" w:type="dxa"/>
            </w:tcMar>
          </w:tcPr>
          <w:p>
            <w:r>
              <w:rPr>
                <w:b/>
              </w:rPr>
              <w:t>Criterio</w:t>
            </w:r>
          </w:p>
        </w:tc>
        <w:tc>
          <w:tcPr>
            <w:tcW w:type="dxa" w:w="3312"/>
            <w:shd w:fill="D9E2F3"/>
            <w:tcMar>
              <w:top w:w="90" w:type="dxa"/>
              <w:start w:w="100" w:type="dxa"/>
              <w:bottom w:w="90" w:type="dxa"/>
              <w:end w:w="100" w:type="dxa"/>
            </w:tcMar>
          </w:tcPr>
          <w:p>
            <w:r>
              <w:rPr>
                <w:b/>
              </w:rPr>
              <w:t>Interpretazione aggiornata</w:t>
            </w:r>
          </w:p>
        </w:tc>
        <w:tc>
          <w:tcPr>
            <w:tcW w:type="dxa" w:w="3312"/>
            <w:shd w:fill="D9E2F3"/>
            <w:tcMar>
              <w:top w:w="90" w:type="dxa"/>
              <w:start w:w="100" w:type="dxa"/>
              <w:bottom w:w="90" w:type="dxa"/>
              <w:end w:w="100" w:type="dxa"/>
            </w:tcMar>
          </w:tcPr>
          <w:p>
            <w:r>
              <w:rPr>
                <w:b/>
              </w:rPr>
              <w:t>Impatto sulla scelta</w:t>
            </w:r>
          </w:p>
        </w:tc>
      </w:tr>
      <w:tr>
        <w:trPr>
          <w:cantSplit/>
        </w:trPr>
        <w:tc>
          <w:tcPr>
            <w:tcW w:type="dxa" w:w="3312"/>
            <w:tcMar>
              <w:top w:w="90" w:type="dxa"/>
              <w:start w:w="100" w:type="dxa"/>
              <w:bottom w:w="90" w:type="dxa"/>
              <w:end w:w="100" w:type="dxa"/>
            </w:tcMar>
          </w:tcPr>
          <w:p>
            <w:r>
              <w:t>Correttezza semantica</w:t>
            </w:r>
          </w:p>
        </w:tc>
        <w:tc>
          <w:tcPr>
            <w:tcW w:type="dxa" w:w="3312"/>
            <w:tcMar>
              <w:top w:w="90" w:type="dxa"/>
              <w:start w:w="100" w:type="dxa"/>
              <w:bottom w:w="90" w:type="dxa"/>
              <w:end w:w="100" w:type="dxa"/>
            </w:tcMar>
          </w:tcPr>
          <w:p>
            <w:r>
              <w:t>La causale deve essere compatibile con categoria, beneficiario, periodo e contesto.</w:t>
            </w:r>
          </w:p>
        </w:tc>
        <w:tc>
          <w:tcPr>
            <w:tcW w:type="dxa" w:w="3312"/>
            <w:tcMar>
              <w:top w:w="90" w:type="dxa"/>
              <w:start w:w="100" w:type="dxa"/>
              <w:bottom w:w="90" w:type="dxa"/>
              <w:end w:w="100" w:type="dxa"/>
            </w:tcMar>
          </w:tcPr>
          <w:p>
            <w:r>
              <w:t>Obbligatorio per entrambi</w:t>
            </w:r>
          </w:p>
        </w:tc>
      </w:tr>
      <w:tr>
        <w:trPr>
          <w:cantSplit/>
        </w:trPr>
        <w:tc>
          <w:tcPr>
            <w:tcW w:type="dxa" w:w="3312"/>
            <w:tcMar>
              <w:top w:w="90" w:type="dxa"/>
              <w:start w:w="100" w:type="dxa"/>
              <w:bottom w:w="90" w:type="dxa"/>
              <w:end w:w="100" w:type="dxa"/>
            </w:tcMar>
          </w:tcPr>
          <w:p>
            <w:r>
              <w:t>Assenza di contraddizioni</w:t>
            </w:r>
          </w:p>
        </w:tc>
        <w:tc>
          <w:tcPr>
            <w:tcW w:type="dxa" w:w="3312"/>
            <w:tcMar>
              <w:top w:w="90" w:type="dxa"/>
              <w:start w:w="100" w:type="dxa"/>
              <w:bottom w:w="90" w:type="dxa"/>
              <w:end w:w="100" w:type="dxa"/>
            </w:tcMar>
          </w:tcPr>
          <w:p>
            <w:r>
              <w:t>Non devono comparire fatti incompatibili con i dati forniti.</w:t>
            </w:r>
          </w:p>
        </w:tc>
        <w:tc>
          <w:tcPr>
            <w:tcW w:type="dxa" w:w="3312"/>
            <w:tcMar>
              <w:top w:w="90" w:type="dxa"/>
              <w:start w:w="100" w:type="dxa"/>
              <w:bottom w:w="90" w:type="dxa"/>
              <w:end w:w="100" w:type="dxa"/>
            </w:tcMar>
          </w:tcPr>
          <w:p>
            <w:r>
              <w:t>Obbligatorio per entrambi</w:t>
            </w:r>
          </w:p>
        </w:tc>
      </w:tr>
      <w:tr>
        <w:trPr>
          <w:cantSplit/>
        </w:trPr>
        <w:tc>
          <w:tcPr>
            <w:tcW w:type="dxa" w:w="3312"/>
            <w:tcMar>
              <w:top w:w="90" w:type="dxa"/>
              <w:start w:w="100" w:type="dxa"/>
              <w:bottom w:w="90" w:type="dxa"/>
              <w:end w:w="100" w:type="dxa"/>
            </w:tcMar>
          </w:tcPr>
          <w:p>
            <w:r>
              <w:t>Riformulazione utile</w:t>
            </w:r>
          </w:p>
        </w:tc>
        <w:tc>
          <w:tcPr>
            <w:tcW w:type="dxa" w:w="3312"/>
            <w:tcMar>
              <w:top w:w="90" w:type="dxa"/>
              <w:start w:w="100" w:type="dxa"/>
              <w:bottom w:w="90" w:type="dxa"/>
              <w:end w:w="100" w:type="dxa"/>
            </w:tcMar>
          </w:tcPr>
          <w:p>
            <w:r>
              <w:t>Termini contestualmente coerenti possono migliorare la proposta anche se non sono copiati letteralmente dall’input.</w:t>
            </w:r>
          </w:p>
        </w:tc>
        <w:tc>
          <w:tcPr>
            <w:tcW w:type="dxa" w:w="3312"/>
            <w:tcMar>
              <w:top w:w="90" w:type="dxa"/>
              <w:start w:w="100" w:type="dxa"/>
              <w:bottom w:w="90" w:type="dxa"/>
              <w:end w:w="100" w:type="dxa"/>
            </w:tcMar>
          </w:tcPr>
          <w:p>
            <w:r>
              <w:t>Favorisce Claude-DS</w:t>
            </w:r>
          </w:p>
        </w:tc>
      </w:tr>
      <w:tr>
        <w:trPr>
          <w:cantSplit/>
        </w:trPr>
        <w:tc>
          <w:tcPr>
            <w:tcW w:type="dxa" w:w="3312"/>
            <w:tcMar>
              <w:top w:w="90" w:type="dxa"/>
              <w:start w:w="100" w:type="dxa"/>
              <w:bottom w:w="90" w:type="dxa"/>
              <w:end w:w="100" w:type="dxa"/>
            </w:tcMar>
          </w:tcPr>
          <w:p>
            <w:r>
              <w:t>Diversità tra alternative</w:t>
            </w:r>
          </w:p>
        </w:tc>
        <w:tc>
          <w:tcPr>
            <w:tcW w:type="dxa" w:w="3312"/>
            <w:tcMar>
              <w:top w:w="90" w:type="dxa"/>
              <w:start w:w="100" w:type="dxa"/>
              <w:bottom w:w="90" w:type="dxa"/>
              <w:end w:w="100" w:type="dxa"/>
            </w:tcMar>
          </w:tcPr>
          <w:p>
            <w:r>
              <w:t>Le due proposte dovrebbero rappresentare scelte realmente differenti quando possibile.</w:t>
            </w:r>
          </w:p>
        </w:tc>
        <w:tc>
          <w:tcPr>
            <w:tcW w:type="dxa" w:w="3312"/>
            <w:tcMar>
              <w:top w:w="90" w:type="dxa"/>
              <w:start w:w="100" w:type="dxa"/>
              <w:bottom w:w="90" w:type="dxa"/>
              <w:end w:w="100" w:type="dxa"/>
            </w:tcMar>
          </w:tcPr>
          <w:p>
            <w:r>
              <w:t>Favorisce nettamente Claude-DS</w:t>
            </w:r>
          </w:p>
        </w:tc>
      </w:tr>
      <w:tr>
        <w:trPr>
          <w:cantSplit/>
        </w:trPr>
        <w:tc>
          <w:tcPr>
            <w:tcW w:type="dxa" w:w="3312"/>
            <w:tcMar>
              <w:top w:w="90" w:type="dxa"/>
              <w:start w:w="100" w:type="dxa"/>
              <w:bottom w:w="90" w:type="dxa"/>
              <w:end w:w="100" w:type="dxa"/>
            </w:tcMar>
          </w:tcPr>
          <w:p>
            <w:r>
              <w:t>Preservazione del testo parziale</w:t>
            </w:r>
          </w:p>
        </w:tc>
        <w:tc>
          <w:tcPr>
            <w:tcW w:type="dxa" w:w="3312"/>
            <w:tcMar>
              <w:top w:w="90" w:type="dxa"/>
              <w:start w:w="100" w:type="dxa"/>
              <w:bottom w:w="90" w:type="dxa"/>
              <w:end w:w="100" w:type="dxa"/>
            </w:tcMar>
          </w:tcPr>
          <w:p>
            <w:r>
              <w:t>Resta importante in Completion, ma non è l’unico criterio di qualità percepita.</w:t>
            </w:r>
          </w:p>
        </w:tc>
        <w:tc>
          <w:tcPr>
            <w:tcW w:type="dxa" w:w="3312"/>
            <w:tcMar>
              <w:top w:w="90" w:type="dxa"/>
              <w:start w:w="100" w:type="dxa"/>
              <w:bottom w:w="90" w:type="dxa"/>
              <w:end w:w="100" w:type="dxa"/>
            </w:tcMar>
          </w:tcPr>
          <w:p>
            <w:r>
              <w:t>Favorisce GPTPlus-DS</w:t>
            </w:r>
          </w:p>
        </w:tc>
      </w:tr>
    </w:tbl>
    <w:p>
      <w:pPr>
        <w:pStyle w:val="Heading1"/>
        <w:keepNext/>
        <w:spacing w:after="100"/>
      </w:pPr>
      <w:r>
        <w:t>8. Decisione aggiornata</w:t>
      </w:r>
    </w:p>
    <w:p>
      <w:pPr>
        <w:spacing w:after="100"/>
      </w:pPr>
      <w:r>
        <w:rPr>
          <w:b/>
        </w:rPr>
        <w:t xml:space="preserve">MODELLO CANDIDATO FINALE — LFM2-700M_Claude-DS, GGUF Q5_K_M. </w:t>
      </w:r>
      <w:r>
        <w:t>La selezione viene aggiornata perché, alla luce della validazione nel prodotto reale, la maggiore diversità e capacità di riformulazione di Claude-DS sono considerate funzionalità utili per l’esperienza utente, non semplici variazioni stilistiche secondarie. La precedente superiorità di GPTPlus-DS nelle metriche di aderenza e preservazione dell’input rimane documentata e non viene negata; cambia il peso assegnato ai criteri nella fase di deployment finale.</w:t>
      </w:r>
    </w:p>
    <w:p>
      <w:pPr>
        <w:spacing w:after="100"/>
      </w:pPr>
      <w:r>
        <w:rPr>
          <w:b/>
        </w:rPr>
        <w:t xml:space="preserve">Condizione di conferma finale. </w:t>
      </w:r>
      <w:r>
        <w:t>La scelta sarà considerata definitiva dopo i benchmark sul dispositivo target: latenza, cold model load, memoria di picco, stabilità su generazioni consecutive e funzionamento offline. Tali benchmark devono essere eseguiti sul modello Claude-DS Q5_K_M se questo rimane il candidato di deployment.</w:t>
      </w:r>
    </w:p>
    <w:p>
      <w:pPr>
        <w:pStyle w:val="Heading1"/>
        <w:keepNext/>
        <w:spacing w:after="100"/>
      </w:pPr>
      <w:r>
        <w:t>9. Formulazione sintetica utilizzabile nella tesi</w:t>
      </w:r>
    </w:p>
    <w:p>
      <w:pPr>
        <w:spacing w:after="100"/>
        <w:ind w:left="432" w:right="432"/>
      </w:pPr>
      <w:r>
        <w:rPr>
          <w:i/>
        </w:rPr>
        <w:t>“The initial pre-deployment evaluation selected the GPTPlus-fine-tuned model because it achieved stronger aggregate task-fidelity metrics, preserved partial user input more reliably, and used transaction-specific information more frequently. However, validation within the real Android prototype revealed that the two suggestions produced by GPTPlus were often lexically similar and provided limited practical choice to the user. The Claude-fine-tuned model, evaluated under the same Q5_K_M quantization and greedy decoding setup, produced more semantically diverse and contextually useful reformulations, including effective use of calendar information. Because contextually coherent reformulations were considered a desirable assistance feature rather than an error, the deployment decision was reassessed and Claude-DS was selected as the final candidate, subject to device-level performance and stability validation.”</w:t>
      </w:r>
    </w:p>
    <w:p>
      <w:pPr>
        <w:pStyle w:val="Heading1"/>
        <w:keepNext/>
        <w:spacing w:after="100"/>
      </w:pPr>
      <w:r>
        <w:t>10. Passi successivi</w:t>
      </w:r>
    </w:p>
    <w:p>
      <w:pPr>
        <w:pStyle w:val="ListNumber"/>
        <w:spacing w:after="100"/>
      </w:pPr>
      <w:r>
        <w:t>Confermare Claude-DS Q5_K_M come modello caricato dall’app di test.</w:t>
      </w:r>
    </w:p>
    <w:p>
      <w:pPr>
        <w:pStyle w:val="ListNumber"/>
        <w:spacing w:after="100"/>
      </w:pPr>
      <w:r>
        <w:t>Misurare separatamente cold model load e creazione del contesto di inferenza.</w:t>
      </w:r>
    </w:p>
    <w:p>
      <w:pPr>
        <w:pStyle w:val="ListNumber"/>
        <w:spacing w:after="100"/>
      </w:pPr>
      <w:r>
        <w:t>Misurare latenza di generazione, mediana, p95 e token/s sul dispositivo target.</w:t>
      </w:r>
    </w:p>
    <w:p>
      <w:pPr>
        <w:pStyle w:val="ListNumber"/>
        <w:spacing w:after="100"/>
      </w:pPr>
      <w:r>
        <w:t>Rilevare peak RAM e verificare assenza di OOM.</w:t>
      </w:r>
    </w:p>
    <w:p>
      <w:pPr>
        <w:pStyle w:val="ListNumber"/>
        <w:spacing w:after="100"/>
      </w:pPr>
      <w:r>
        <w:t>Eseguire almeno 30 generazioni consecutive per la stabilità.</w:t>
      </w:r>
    </w:p>
    <w:p>
      <w:pPr>
        <w:pStyle w:val="ListNumber"/>
        <w:spacing w:after="100"/>
      </w:pPr>
      <w:r>
        <w:t>Verificare esplicitamente il funzionamento offline.</w:t>
      </w:r>
    </w:p>
    <w:p>
      <w:pPr>
        <w:pStyle w:val="ListNumber"/>
        <w:spacing w:after="100"/>
      </w:pPr>
      <w:r>
        <w:t>Solo dopo i benchmark, congelare il modello di deployment e aggiornare la documentazione finale della tesi.</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7"/>
      </w:rPr>
      <w:t>Edge AI for Smart Bank Transfers  |  Post-deployment model reassessment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