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b/>
          <w:color w:val="1F4E78"/>
          <w:sz w:val="20"/>
        </w:rPr>
        <w:t>REPORT DI DECISIONE SPERIMENTALE</w:t>
      </w:r>
    </w:p>
    <w:p>
      <w:pPr>
        <w:pStyle w:val="Title"/>
        <w:jc w:val="center"/>
      </w:pPr>
      <w:r>
        <w:t>Selezione del modello finale per il deployment Edge</w:t>
      </w:r>
    </w:p>
    <w:p>
      <w:pPr>
        <w:jc w:val="center"/>
      </w:pPr>
      <w:r>
        <w:rPr>
          <w:color w:val="666666"/>
          <w:sz w:val="26"/>
        </w:rPr>
        <w:t>Confronto quantitativo e qualitativo tra LFM2-700M_GPTPlus-DS e LFM2-700M_Claude-DS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624"/>
      </w:tblGrid>
      <w:tr>
        <w:trPr>
          <w:cantSplit w:val="true"/>
        </w:trPr>
        <w:tc>
          <w:tcPr>
            <w:tcW w:type="dxa" w:w="499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Progetto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Edge AI for Smart Bank Transfers</w:t>
            </w:r>
          </w:p>
        </w:tc>
      </w:tr>
      <w:tr>
        <w:trPr>
          <w:cantSplit w:val="true"/>
        </w:trPr>
        <w:tc>
          <w:tcPr>
            <w:tcW w:type="dxa" w:w="499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26 agosto 2026</w:t>
            </w:r>
          </w:p>
        </w:tc>
      </w:tr>
      <w:tr>
        <w:trPr>
          <w:cantSplit w:val="true"/>
        </w:trPr>
        <w:tc>
          <w:tcPr>
            <w:tcW w:type="dxa" w:w="499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Stato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Decisione: LFM2-700M_GPTPlus-DS selezionato per conversione GGUF e integrazione Android</w:t>
            </w:r>
          </w:p>
        </w:tc>
      </w:tr>
    </w:tbl>
    <w:p>
      <w:r>
        <w:br w:type="page"/>
      </w:r>
    </w:p>
    <w:p>
      <w:pPr>
        <w:pStyle w:val="Heading1"/>
      </w:pPr>
      <w:r>
        <w:t>1. Obiettivo della decisione</w:t>
      </w:r>
    </w:p>
    <w:p>
      <w:r>
        <w:t>Dopo aver completato fine-tuning, merge e evaluation, il progetto deve scegliere un solo checkpoint da trasformare in GGUF, quantizzare e integrare nell’app Flutter. La decisione non viene basata su una singola metrica, ma sulla combinazione di accuratezza rispetto alle reference, robustezza cross-dataset, consistenza strutturale e comportamento qualitativo nelle tre attività del prodotto.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4E78"/>
              </w:rPr>
              <w:t xml:space="preserve">Candidati — </w:t>
            </w:r>
            <w:r>
              <w:t>LFM2-700M_GPTPlus-DS e LFM2-700M_Claude-DS. Il checkpoint originale LFM2-700M è mantenuto come baseline native-chat, non come candidato prioritario al deployment task-specific.</w:t>
            </w:r>
          </w:p>
        </w:tc>
      </w:tr>
    </w:tbl>
    <w:p/>
    <w:p>
      <w:pPr>
        <w:pStyle w:val="Heading1"/>
      </w:pPr>
      <w:r>
        <w:t>2. Evidenza sperimentale utilizzata</w:t>
      </w:r>
    </w:p>
    <w:p>
      <w:pPr>
        <w:pStyle w:val="ListBullet"/>
        <w:spacing w:after="40"/>
      </w:pPr>
      <w:r>
        <w:t>Due test set indipendenti: GPTPlus test (500 record) e Claude test (500 record).</w:t>
      </w:r>
    </w:p>
    <w:p>
      <w:pPr>
        <w:pStyle w:val="ListBullet"/>
        <w:spacing w:after="40"/>
      </w:pPr>
      <w:r>
        <w:t>Per ciascun test set: 200 GENERATION, 150 COMPLETION, 150 NORMALIZATION.</w:t>
      </w:r>
    </w:p>
    <w:p>
      <w:pPr>
        <w:pStyle w:val="ListBullet"/>
        <w:spacing w:after="40"/>
      </w:pPr>
      <w:r>
        <w:t>Ogni fine-tuned è stato valutato sia in-domain sia sul test set generato dall’altro LLM.</w:t>
      </w:r>
    </w:p>
    <w:p>
      <w:pPr>
        <w:pStyle w:val="ListBullet"/>
        <w:spacing w:after="40"/>
      </w:pPr>
      <w:r>
        <w:t>Metriche automatiche: ROUGE-1, ROUGE-2, BERTScore F1, Normalized Exact Match, two distinct alternatives, structured consistency.</w:t>
      </w:r>
    </w:p>
    <w:p>
      <w:pPr>
        <w:pStyle w:val="ListBullet"/>
        <w:spacing w:after="40"/>
      </w:pPr>
      <w:r>
        <w:t>Review qualitativa diretta dei quattro file prediction, per un totale di 2000 output record-per-record.</w:t>
      </w:r>
    </w:p>
    <w:p>
      <w:pPr>
        <w:pStyle w:val="Heading1"/>
      </w:pPr>
      <w:r>
        <w:t>3. Confronto quantitativo macro sui due test 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  <w:cantSplit w:val="true"/>
        </w:trPr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Modello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R1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R2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BERT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Exact Match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2 alt.</w:t>
            </w:r>
          </w:p>
        </w:tc>
        <w:tc>
          <w:tcPr>
            <w:tcW w:type="dxa" w:w="14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Struct.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Base native-chat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0.3426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0.1545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0.8252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0.35%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91.1%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98.4%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0.6738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0.5136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0.9268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32.40%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99.8%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99.9%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0.6011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0.4127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0.9123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15.25%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98.8%</w:t>
            </w:r>
          </w:p>
        </w:tc>
        <w:tc>
          <w:tcPr>
            <w:tcW w:type="dxa" w:w="14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100.0%</w:t>
            </w:r>
          </w:p>
        </w:tc>
      </w:tr>
    </w:tbl>
    <w:p/>
    <w:p>
      <w:r>
        <w:t>GPTPlus-DS è il migliore nelle metriche linguistiche aggregate e nell’Exact Match. Claude-DS ha un vantaggio di 0,1 punti percentuali nella structured consistency macro (100,0% contro 99,9%), mentre GPTPlus-DS produce due alternative distinte con maggiore affidabilità (99,8% contro 98,8%).</w:t>
      </w:r>
    </w:p>
    <w:p>
      <w:pPr>
        <w:pStyle w:val="Heading1"/>
      </w:pPr>
      <w:r>
        <w:t>4. Risultati per test 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 w:val="true"/>
        </w:trPr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Modello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R1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BERT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EM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2 alt.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Struct.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0.8393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0.7648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0.9641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60.80%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99.8%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0.5083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0.2624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0.8895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4.00%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99.6%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0.5090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0.3133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0.8921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5.00%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98.6%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0.6932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0.5121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0.9324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25.50%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99.0%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4E78"/>
              </w:rPr>
              <w:t xml:space="preserve">Osservazione — </w:t>
            </w:r>
            <w:r>
              <w:t>GPTPlus-DS è molto forte sul proprio dominio sintetico e mantiene prestazioni cross-dataset simili a Claude-DS sul test avverso. Claude-DS conserva una quota maggiore della propria prestazione in-domain quando passa al test esterno, ma il vantaggio cross-domain assoluto è piccolo.</w:t>
            </w:r>
          </w:p>
        </w:tc>
      </w:tr>
    </w:tbl>
    <w:p/>
    <w:p>
      <w:pPr>
        <w:pStyle w:val="Heading1"/>
      </w:pPr>
      <w:r>
        <w:t>5. Robustezza cross-dataset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19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Modello</w:t>
            </w:r>
          </w:p>
        </w:tc>
        <w:tc>
          <w:tcPr>
            <w:tcW w:type="dxa" w:w="19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19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In-domain</w:t>
            </w:r>
          </w:p>
        </w:tc>
        <w:tc>
          <w:tcPr>
            <w:tcW w:type="dxa" w:w="19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Cross-dataset</w:t>
            </w:r>
          </w:p>
        </w:tc>
        <w:tc>
          <w:tcPr>
            <w:tcW w:type="dxa" w:w="19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Retention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0.8393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0.5083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60.6%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0.7648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0.2624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34.3%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BERT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0.9641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0.8895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92.3%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0.6932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0.5090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73.4%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0.5121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0.3133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61.2%</w:t>
            </w:r>
          </w:p>
        </w:tc>
      </w:tr>
      <w:tr>
        <w:trPr>
          <w:cantSplit w:val="true"/>
        </w:trP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BERT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0.9324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0.8921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95.7%</w:t>
            </w:r>
          </w:p>
        </w:tc>
      </w:tr>
    </w:tbl>
    <w:p/>
    <w:p>
      <w:r>
        <w:t>Claude-DS mostra una retention relativa più elevata. Tuttavia, sul test esterno i due modelli risultano praticamente equivalenti su ROUGE-1 (0,5083 vs 0,5090) e BERTScore (0,8895 vs 0,8921). Per questo la sola retention non è stata considerata sufficiente a preferire Claude-DS per il deployment.</w:t>
      </w:r>
    </w:p>
    <w:p>
      <w:pPr>
        <w:pStyle w:val="Heading1"/>
      </w:pPr>
      <w:r>
        <w:t>6. Analisi per attività</w:t>
      </w:r>
    </w:p>
    <w:p>
      <w:pPr>
        <w:pStyle w:val="Heading2"/>
      </w:pPr>
      <w:r>
        <w:t>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 w:val="true"/>
        </w:trPr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Modello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R1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BERT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EM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2 alt.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Struct.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0.9989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0.9980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0.9996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99.67%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0.4872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0.2467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0.8883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4.00%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0.5875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0.4098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0.9079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12.00%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97.3%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0.7243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0.5747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0.9422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40.33%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99.3%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</w:tbl>
    <w:p/>
    <w:p>
      <w:pPr>
        <w:pStyle w:val="Heading2"/>
        <w:pageBreakBefore/>
      </w:pPr>
      <w:r>
        <w:t>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 w:val="true"/>
        </w:trPr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Modello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R1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BERT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EM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2 alt.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Struct.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0.5993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0.4141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0.9106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3.00%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0.3954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0.1961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0.8796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1.75%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0.3846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0.1639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0.8723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98.5%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0.5723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0.3403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0.9093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6.50%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98.5%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</w:tbl>
    <w:p/>
    <w:p>
      <w:pPr>
        <w:pStyle w:val="Heading2"/>
      </w:pPr>
      <w:r>
        <w:t>Normalization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  <w:cantSplit w:val="true"/>
        </w:trPr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Modello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R1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R2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BERT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EM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2 alt.</w:t>
            </w:r>
          </w:p>
        </w:tc>
        <w:tc>
          <w:tcPr>
            <w:tcW w:type="dxa" w:w="12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Struct.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0.9998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0.9993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0.9999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99.00%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99.3%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0.6800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0.3665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0.9041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7.00%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98.7%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0.5963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0.4160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0.9028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4.67%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Claude-DS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CLAUDE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0.8232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0.6784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0.9533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36.00%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99.3%</w:t>
            </w:r>
          </w:p>
        </w:tc>
        <w:tc>
          <w:tcPr>
            <w:tcW w:type="dxa" w:w="1249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100.0%</w:t>
            </w:r>
          </w:p>
        </w:tc>
      </w:tr>
    </w:tbl>
    <w:p/>
    <w:p>
      <w:r>
        <w:t>Il vantaggio di GPTPlus-DS è particolarmente marcato in COMPLETION e NORMALIZATION sul proprio test set, dove riproduce quasi perfettamente il comportamento atteso. GENERATION rimane l’attività più aperta semanticamente e, di conseguenza, presenta Exact Match molto più basso per entrambi i modelli.</w:t>
      </w:r>
    </w:p>
    <w:p>
      <w:pPr>
        <w:pStyle w:val="Heading1"/>
        <w:pageBreakBefore/>
      </w:pPr>
      <w:r>
        <w:t>7. Review qualitativa su 2000 prediction</w:t>
      </w:r>
    </w:p>
    <w:p>
      <w:r>
        <w:t>Per evitare che la decisione fosse guidata soltanto dalle reference sintetiche, sono stati analizzati direttamente i quattro file JSONL di prediction: 500 + 500 output per modello. Sono stati calcolati anche indicatori aggiuntivi non presenti nel benchmark originale, senza modificare le prediction.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4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Indicatore qualitativo</w:t>
            </w:r>
          </w:p>
        </w:tc>
        <w:tc>
          <w:tcPr>
            <w:tcW w:type="dxa" w:w="24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GPTPlus-DS</w:t>
            </w:r>
          </w:p>
        </w:tc>
        <w:tc>
          <w:tcPr>
            <w:tcW w:type="dxa" w:w="24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Claude-DS</w:t>
            </w:r>
          </w:p>
        </w:tc>
        <w:tc>
          <w:tcPr>
            <w:tcW w:type="dxa" w:w="24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Lettura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Preservazione del prefisso in COMPLETION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266/300 (88.7%)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116/300 (38.7%)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GPTPlus-DS completa più spesso direttamente ciò che l’utente ha già scritto.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Beneficiario menzionato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41.1%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23.3%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 utilizza più spesso il contesto specifico della transazione.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Jaccard medio tra token-set delle 2 alternative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0.814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0.355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Valore più basso = maggiore varietà lessicale; qui Claude-DS è nettamente più diverso.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Containment medio token-set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0.975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0.577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5"/>
              </w:rPr>
              <w:t>GPTPlus-DS tende a riordinare le stesse parole; Claude-DS riformula maggiormente.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Una alternativa contiene tutto il token-set dell’altra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87.5%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16.6%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Conferma il vantaggio di Claude-DS nella diversità tra alternative.</w:t>
            </w:r>
          </w:p>
        </w:tc>
      </w:tr>
    </w:tbl>
    <w:p/>
    <w:p>
      <w:pPr>
        <w:pStyle w:val="Heading1"/>
      </w:pPr>
      <w:r>
        <w:t>8. Esempi rappresentativi</w:t>
      </w:r>
    </w:p>
    <w:p>
      <w:pPr>
        <w:pStyle w:val="Heading2"/>
      </w:pPr>
      <w:r>
        <w:t>8.1 GPTPlus-DS: completion in-domain molto aderente</w:t>
      </w:r>
    </w:p>
    <w:p>
      <w:r>
        <w:t>Input parziale: MoorCircle Trading - purchase settlement for</w:t>
      </w:r>
    </w:p>
    <w:p>
      <w:pPr>
        <w:pStyle w:val="CodeBlock"/>
        <w:shd w:fill="F2F2F2"/>
      </w:pPr>
      <w:r>
        <w:t>1. MoorCircle Trading - purchase settlement for January 2025</w:t>
        <w:br/>
        <w:t>2. January 2025 purchase settlement to MoorCircle Trading</w:t>
      </w:r>
    </w:p>
    <w:p>
      <w:r>
        <w:t>Il modello preserva il testo dell’utente e produce entrambe le reference esatte; il record ottiene ROUGE-1/2, BERTScore ed Exact Match pari a 1,0.</w:t>
      </w:r>
    </w:p>
    <w:p>
      <w:pPr>
        <w:pStyle w:val="Heading2"/>
      </w:pPr>
      <w:r>
        <w:t>8.2 Claude-DS: esempio cross-dataset con perdita del beneficiario</w:t>
      </w:r>
    </w:p>
    <w:p>
      <w:r>
        <w:t>Input parziale: training course to | Beneficiario disponibile: AmberUnion Training Centre</w:t>
      </w:r>
    </w:p>
    <w:p>
      <w:pPr>
        <w:pStyle w:val="CodeBlock"/>
        <w:shd w:fill="F2F2F2"/>
      </w:pPr>
      <w:r>
        <w:t>1. Training course fee to Second installment</w:t>
        <w:br/>
        <w:t>2. Course fee for Second installment</w:t>
      </w:r>
    </w:p>
    <w:p>
      <w:r>
        <w:t>Le alternative sono fluenti, ma non completano il prefisso verso il beneficiario disponibile nel record e privilegiano il riferimento temporale “Second installment”. Questo comportamento aiuta a spiegare la minore preservazione del prefisso osservata su COMPLETION.</w:t>
      </w:r>
    </w:p>
    <w:p>
      <w:pPr>
        <w:pStyle w:val="Heading2"/>
      </w:pPr>
      <w:r>
        <w:t>8.3 Stesso record Claude: concisione vs uso del contesto</w:t>
      </w:r>
    </w:p>
    <w:p>
      <w:r>
        <w:t>Claude-DS:</w:t>
      </w:r>
    </w:p>
    <w:p>
      <w:pPr>
        <w:pStyle w:val="CodeBlock"/>
        <w:shd w:fill="F2F2F2"/>
      </w:pPr>
      <w:r>
        <w:t>1. Reimbursement due</w:t>
        <w:br/>
        <w:t>2. Reimbursement settlement</w:t>
      </w:r>
    </w:p>
    <w:p>
      <w:r>
        <w:t>GPTPlus-DS:</w:t>
      </w:r>
    </w:p>
    <w:p>
      <w:pPr>
        <w:pStyle w:val="CodeBlock"/>
        <w:shd w:fill="F2F2F2"/>
      </w:pPr>
      <w:r>
        <w:t>1. expense reimbursement to Matthew Novak, EUR 45</w:t>
        <w:br/>
        <w:t>2. EUR 45 expense reimbursement for Matthew Novak</w:t>
      </w:r>
    </w:p>
    <w:p>
      <w:r>
        <w:t>Claude-DS è molto vicino alle reference sintetiche e più conciso; GPTPlus-DS incorpora beneficiario e importo presenti nel record. Per l’applicazione reale questa maggiore specificità non è considerata un errore, purché non introduca dati non supportati.</w:t>
      </w:r>
    </w:p>
    <w:p>
      <w:pPr>
        <w:pStyle w:val="Heading2"/>
      </w:pPr>
      <w:r>
        <w:t>8.4 Limite reale di GPTPlus-DS: caso raro di repetition</w:t>
      </w:r>
    </w:p>
    <w:p>
      <w:pPr>
        <w:pStyle w:val="CodeBlock"/>
        <w:shd w:fill="F2F2F2"/>
      </w:pPr>
      <w:r>
        <w:t>1. Graduation ceremony: gift payment</w:t>
        <w:br/>
        <w:t>2. Thornbury Services Partners Partners Partners Partners Partners Partners Partners Partners</w:t>
      </w:r>
    </w:p>
    <w:p>
      <w:r>
        <w:t>Il secondo output degenera in una ripetizione del beneficiario. Il caso viene mantenuto come evidenza qualitativa che GPTPlus-DS non è perfetto, nonostante le metriche aggregate molto elevate.</w:t>
      </w:r>
    </w:p>
    <w:p>
      <w:pPr>
        <w:pStyle w:val="Heading1"/>
      </w:pPr>
      <w:r>
        <w:t>9. Trade-off tra i due candidati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3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Vantaggio</w:t>
            </w:r>
          </w:p>
        </w:tc>
        <w:tc>
          <w:tcPr>
            <w:tcW w:type="dxa" w:w="33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Motivazione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Prestazioni aggregate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Migliori ROUGE-1, ROUGE-2, BERTScore ed Exact Match macro.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Structured consistency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Claude-DS (marginale)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100,0% vs 99,9%; differenza di 0,1 punti percentuali.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Cross-dataset absolute performance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Quasi parità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Sul test esterno R1 e BERTScore sono quasi identici.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Cross-dataset retention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Perde meno rispetto al proprio in-domain.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COMPLETION: preservazione input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88,7% vs 38,7% sulla prima alternativa.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Uso del beneficiario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GPTPlus-DS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41,1% vs 23,3% sui 1000 record per modello.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Diversità tra le due alternative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Jaccard e containment molto più bassi: riformulazioni più diverse.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Rischio di repetition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Claude-DS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shd w:fill="F3F6F8"/>
          </w:tcPr>
          <w:p>
            <w:r>
              <w:rPr>
                <w:sz w:val="16"/>
              </w:rPr>
              <w:t>È stato osservato almeno un caso evidente di repetition in GPTPlus-DS.</w:t>
            </w:r>
          </w:p>
        </w:tc>
      </w:tr>
    </w:tbl>
    <w:p/>
    <w:p>
      <w:r>
        <w:t>Non è stato costruito un punteggio pesato artificiale: i criteri sono stati interpretati in relazione al caso d’uso. Per una app di causali bancarie offline si è data maggiore priorità a fedeltà al testo utente, uso coerente dei dati della transazione e accuratezza task-specific rispetto alla varietà stilistica delle due alternative.</w:t>
      </w:r>
    </w:p>
    <w:p>
      <w:pPr>
        <w:pStyle w:val="Heading1"/>
      </w:pPr>
      <w:r>
        <w:t>10. Decisione finale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4E78"/>
              </w:rPr>
              <w:t xml:space="preserve">MODELLO SELEZIONATO — </w:t>
            </w:r>
            <w:r>
              <w:t>LFM2-700M_GPTPlus-DS, artefatto merged: models/lfm2_700m_gptplus_merged.</w:t>
            </w:r>
          </w:p>
        </w:tc>
      </w:tr>
    </w:tbl>
    <w:p/>
    <w:p>
      <w:r>
        <w:t>La selezione è motivata da quattro elementi convergenti:</w:t>
      </w:r>
    </w:p>
    <w:p>
      <w:pPr>
        <w:spacing w:after="0"/>
        <w:ind w:left="259" w:hanging="259"/>
      </w:pPr>
      <w:r>
        <w:t>1.  Migliori prestazioni aggregate sulle metriche linguistiche e di exact reproduction.</w:t>
      </w:r>
    </w:p>
    <w:p>
      <w:pPr>
        <w:spacing w:after="0"/>
        <w:ind w:left="259" w:hanging="259"/>
      </w:pPr>
      <w:r>
        <w:t>2.  Generalizzazione sul dataset Claude sostanzialmente comparabile a quella di Claude-DS sul dataset GPTPlus.</w:t>
      </w:r>
    </w:p>
    <w:p>
      <w:pPr>
        <w:spacing w:after="0"/>
        <w:ind w:left="259" w:hanging="259"/>
      </w:pPr>
      <w:r>
        <w:t>3.  Comportamento molto più coerente con la semantica dell’attività COMPLETION, preservando frequentemente il prefisso inserito dall’utente.</w:t>
      </w:r>
    </w:p>
    <w:p>
      <w:pPr>
        <w:spacing w:after="0"/>
        <w:ind w:left="259" w:hanging="259"/>
      </w:pPr>
      <w:r>
        <w:t>4.  Maggiore utilizzo di informazioni specifiche della transazione (in particolare il beneficiario), mantenendo comunque structured consistency quasi perfetta.</w:t>
      </w:r>
    </w:p>
    <w:p>
      <w:r>
        <w:t>Claude-DS rimane un risultato valido e utile come confronto sperimentale. Il suo punto di forza principale è la maggiore diversità lessicale delle due alternative, oltre a una structured consistency automatica perfetta e una migliore retention cross-dataset relativa. Questi vantaggi non sono stati giudicati sufficienti a superare GPTPlus-DS per il deployment scelto.</w:t>
      </w:r>
    </w:p>
    <w:p>
      <w:pPr>
        <w:pStyle w:val="Heading1"/>
      </w:pPr>
      <w:r>
        <w:t>11. Formulazione sintetica utilizzabile nella tesi</w:t>
      </w:r>
    </w:p>
    <w:p>
      <w:r>
        <w:rPr>
          <w:b/>
        </w:rPr>
        <w:t xml:space="preserve">Proposta in inglese: </w:t>
      </w:r>
      <w:r>
        <w:t>“The GPTPlus-fine-tuned model was selected for deployment based on the combined quantitative and qualitative evaluation. It achieved the highest aggregate ROUGE, BERTScore and Exact Match scores, while maintaining near-perfect structured consistency and cross-dataset performance comparable to the Claude-fine-tuned model. Qualitative inspection additionally showed stronger preservation of partial user input in completion tasks and greater use of transaction-specific information. The Claude-fine-tuned model produced more lexically diverse alternatives, but this advantage was considered secondary to task fidelity for the target banking application.”</w:t>
      </w:r>
    </w:p>
    <w:p>
      <w:pPr>
        <w:pStyle w:val="Heading1"/>
      </w:pPr>
      <w:r>
        <w:t>12. Passi successivi conseguenti alla decisione</w:t>
      </w:r>
    </w:p>
    <w:p>
      <w:pPr>
        <w:pStyle w:val="CodeBlock"/>
        <w:shd w:fill="F2F2F2"/>
      </w:pPr>
      <w:r>
        <w:t>models/lfm2_700m_gptplus_merged</w:t>
        <w:br/>
        <w:t xml:space="preserve">        ↓</w:t>
        <w:br/>
        <w:t>GGUF F16</w:t>
        <w:br/>
        <w:t xml:space="preserve">        ↓</w:t>
        <w:br/>
        <w:t>Q4_K_M</w:t>
        <w:br/>
        <w:t xml:space="preserve">        ↓</w:t>
        <w:br/>
        <w:t>llama.cpp smoke test</w:t>
        <w:br/>
        <w:t xml:space="preserve">        ↓</w:t>
        <w:br/>
        <w:t>Flutter / Dart</w:t>
        <w:br/>
        <w:t xml:space="preserve">        ↓</w:t>
        <w:br/>
        <w:t>bridge nativo Android</w:t>
        <w:br/>
        <w:t xml:space="preserve">        ↓</w:t>
        <w:br/>
        <w:t>llama.cpp + GGUF</w:t>
        <w:br/>
        <w:t xml:space="preserve">        ↓</w:t>
        <w:br/>
        <w:t>inferenza completamente offline</w:t>
      </w:r>
    </w:p>
    <w:p>
      <w:pPr>
        <w:spacing w:after="0"/>
        <w:ind w:left="259" w:hanging="259"/>
      </w:pPr>
      <w:r>
        <w:t>1.  Convertire il modello merged GPTPlus-DS dal formato Hugging Face/Safetensors a GGUF F16.</w:t>
      </w:r>
    </w:p>
    <w:p>
      <w:pPr>
        <w:spacing w:after="0"/>
        <w:ind w:left="259" w:hanging="259"/>
      </w:pPr>
      <w:r>
        <w:t>2.  Quantizzare il GGUF in Q4_K_M.</w:t>
      </w:r>
    </w:p>
    <w:p>
      <w:pPr>
        <w:spacing w:after="0"/>
        <w:ind w:left="259" w:hanging="259"/>
      </w:pPr>
      <w:r>
        <w:t>3.  Eseguire smoke test con llama.cpp verificando parsing del prompt, due alternative e assenza di regressioni evidenti.</w:t>
      </w:r>
    </w:p>
    <w:p>
      <w:pPr>
        <w:spacing w:after="0"/>
        <w:ind w:left="259" w:hanging="259"/>
      </w:pPr>
      <w:r>
        <w:t>4.  Integrare il modello nell’app Flutter tramite bridge nativo/FFI o plugin Android.</w:t>
      </w:r>
    </w:p>
    <w:p>
      <w:pPr>
        <w:spacing w:after="0"/>
        <w:ind w:left="259" w:hanging="259"/>
      </w:pPr>
      <w:r>
        <w:t>5.  Validare su dispositivo Android reale memoria, latenza, stabilità e qualità delle causali.</w:t>
      </w:r>
    </w:p>
    <w:p>
      <w:pPr>
        <w:pStyle w:val="Heading1"/>
      </w:pPr>
      <w:r>
        <w:t>13. Artefatti di evidenza</w:t>
      </w:r>
    </w:p>
    <w:p>
      <w:pPr>
        <w:pStyle w:val="ListBullet"/>
        <w:spacing w:after="40"/>
      </w:pPr>
      <w:r>
        <w:t>evaluation/results_sft_prompt_final/evaluation_run_details.json</w:t>
      </w:r>
    </w:p>
    <w:p>
      <w:pPr>
        <w:pStyle w:val="ListBullet"/>
        <w:spacing w:after="40"/>
      </w:pPr>
      <w:r>
        <w:t>evaluation/results_base_native_chat/evaluation_run_details.json</w:t>
      </w:r>
    </w:p>
    <w:p>
      <w:pPr>
        <w:pStyle w:val="ListBullet"/>
        <w:spacing w:after="40"/>
      </w:pPr>
      <w:r>
        <w:t>predictions_lfm2_700m_gptplus_ds_on_gptplus_test.jsonl</w:t>
      </w:r>
    </w:p>
    <w:p>
      <w:pPr>
        <w:pStyle w:val="ListBullet"/>
        <w:spacing w:after="40"/>
      </w:pPr>
      <w:r>
        <w:t>predictions_lfm2_700m_gptplus_ds_on_claude_test.jsonl</w:t>
      </w:r>
    </w:p>
    <w:p>
      <w:pPr>
        <w:pStyle w:val="ListBullet"/>
        <w:spacing w:after="40"/>
      </w:pPr>
      <w:r>
        <w:t>predictions_lfm2_700m_claude_ds_on_gptplus_test.jsonl</w:t>
      </w:r>
    </w:p>
    <w:p>
      <w:pPr>
        <w:pStyle w:val="ListBullet"/>
        <w:spacing w:after="40"/>
      </w:pPr>
      <w:r>
        <w:t>predictions_lfm2_700m_claude_ds_on_claude_test.jsonl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4E78"/>
              </w:rPr>
              <w:t xml:space="preserve">Esito — </w:t>
            </w:r>
            <w:r>
              <w:t>La fase di model selection è chiusa. Il checkpoint GPTPlus-DS è il modello da portare al deployment Edge; non sono previste ulteriori run di fine-tuning o benchmark prima della conversione GGUF.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Edge AI for Smart Bank Transfers  |  Decisione modello di deployment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