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2F5597"/>
          <w:sz w:val="52"/>
        </w:rPr>
        <w:t>Punto G - Merge LoRA</w:t>
      </w:r>
    </w:p>
    <w:p>
      <w:pPr>
        <w:jc w:val="center"/>
      </w:pPr>
      <w:r>
        <w:rPr>
          <w:color w:val="548235"/>
          <w:sz w:val="34"/>
        </w:rPr>
        <w:t>Report tecnico dello script merge_lora.py</w:t>
      </w:r>
    </w:p>
    <w:p>
      <w:pPr>
        <w:spacing w:before="240"/>
        <w:jc w:val="center"/>
      </w:pPr>
      <w:r>
        <w:rPr>
          <w:i/>
          <w:sz w:val="23"/>
        </w:rPr>
        <w:t>Pipeline: LFM2-700M + PEFT LoRA -&gt; modello Hugging Face merged</w:t>
      </w:r>
    </w:p>
    <w:p>
      <w:pPr>
        <w:spacing w:before="560"/>
        <w:jc w:val="center"/>
      </w:pPr>
      <w:r>
        <w:rPr>
          <w:b/>
          <w:sz w:val="24"/>
        </w:rPr>
        <w:t>Progetto: Edge AI for Smart Bank Transfers</w:t>
      </w:r>
      <w:r>
        <w:br/>
        <w:t>Fine-tuning separato su dataset GPTPlus e Claude</w:t>
      </w:r>
      <w:r>
        <w:br/>
        <w:t>Ambiente previsto: Amazon EC2 GPU</w:t>
      </w:r>
    </w:p>
    <w:tbl>
      <w:tblPr>
        <w:tblW w:type="auto" w:w="0"/>
        <w:jc w:val="center"/>
        <w:tblLayout w:type="autofit"/>
        <w:tblLook w:firstColumn="1" w:firstRow="1" w:lastColumn="0" w:lastRow="0" w:noHBand="0" w:noVBand="1" w:val="04A0"/>
      </w:tblPr>
      <w:tblGrid>
        <w:gridCol w:w="9936"/>
      </w:tblGrid>
      <w:tr>
        <w:tc>
          <w:tcPr>
            <w:tcW w:type="dxa" w:w="9936"/>
            <w:shd w:fill="EAF2F8"/>
            <w:tcBorders>
              <w:top w:val="single" w:sz="8" w:color="2F5597"/>
              <w:left w:val="single" w:sz="8" w:color="2F5597"/>
              <w:bottom w:val="single" w:sz="8" w:color="2F5597"/>
              <w:right w:val="single" w:sz="8" w:color="2F5597"/>
            </w:tcBorders>
          </w:tcPr>
          <w:p>
            <w:pPr>
              <w:spacing w:after="40"/>
            </w:pPr>
            <w:r>
              <w:rPr>
                <w:b/>
                <w:color w:val="2F5597"/>
                <w:sz w:val="21"/>
              </w:rPr>
              <w:t>Obiettivo del documento</w:t>
            </w:r>
          </w:p>
          <w:p>
            <w:pPr>
              <w:spacing w:after="40"/>
            </w:pPr>
            <w:r>
              <w:rPr>
                <w:sz w:val="20"/>
              </w:rPr>
              <w:t>Descrivere in modo operativo e concettuale cosa fa lo script merge_lora.py, quali file utilizza, come gestisce i due rami GPTPlus/Claude, che cosa significa effettuare il merge di un adapter LoRA e quale artefatto viene prodotto per le fasi successive di valutazione e conversione GGUF.</w:t>
            </w:r>
          </w:p>
        </w:tc>
      </w:tr>
    </w:tbl>
    <w:p>
      <w:pPr>
        <w:spacing w:after="0"/>
      </w:pPr>
    </w:p>
    <w:p>
      <w:r>
        <w:br w:type="page"/>
      </w:r>
    </w:p>
    <w:p>
      <w:pPr>
        <w:pStyle w:val="Heading1"/>
        <w:keepNext/>
      </w:pPr>
      <w:r>
        <w:t>1. Ruolo dello script nella pipeline</w:t>
      </w:r>
    </w:p>
    <w:p>
      <w:r>
        <w:t>Lo script merge_lora.py implementa il punto G della pipeline. Viene eseguito dopo che il fine-tuning LoRA è terminato e l'adapter finale è stato salvato. Il suo compito non è addestrare ulteriormente il modello: prende il modello base LFM2-700M e incorpora stabilmente al suo interno le modifiche apprese dall'adapter LoRA.</w:t>
      </w:r>
    </w:p>
    <w:tbl>
      <w:tblPr>
        <w:tblW w:type="auto" w:w="0"/>
        <w:jc w:val="center"/>
        <w:tblLayout w:type="autofit"/>
        <w:tblLook w:firstColumn="1" w:firstRow="1" w:lastColumn="0" w:lastRow="0" w:noHBand="0" w:noVBand="1" w:val="04A0"/>
      </w:tblPr>
      <w:tblGrid>
        <w:gridCol w:w="9936"/>
      </w:tblGrid>
      <w:tr>
        <w:tc>
          <w:tcPr>
            <w:tcW w:type="dxa" w:w="9936"/>
            <w:shd w:fill="EAF4E2"/>
            <w:tcBorders>
              <w:top w:val="single" w:sz="8" w:color="70AD47"/>
              <w:left w:val="single" w:sz="8" w:color="70AD47"/>
              <w:bottom w:val="single" w:sz="8" w:color="70AD47"/>
              <w:right w:val="single" w:sz="8" w:color="70AD47"/>
            </w:tcBorders>
          </w:tcPr>
          <w:p>
            <w:pPr>
              <w:spacing w:after="40"/>
            </w:pPr>
            <w:r>
              <w:rPr>
                <w:b/>
                <w:color w:val="70AD47"/>
                <w:sz w:val="21"/>
              </w:rPr>
              <w:t>Idea centrale</w:t>
            </w:r>
          </w:p>
          <w:p>
            <w:pPr>
              <w:spacing w:after="40"/>
            </w:pPr>
            <w:r>
              <w:rPr>
                <w:sz w:val="20"/>
              </w:rPr>
              <w:t>Durante LoRA non viene riscritto l’intero modello base. Si addestrano piccoli parametri aggiuntivi. Il merge trasferisce l’effetto di questi parametri nei pesi del modello base, producendo un checkpoint autonomo.</w:t>
            </w:r>
          </w:p>
        </w:tc>
      </w:tr>
    </w:tbl>
    <w:p>
      <w:pPr>
        <w:spacing w:after="0"/>
      </w:pPr>
    </w:p>
    <w:p>
      <w:pPr>
        <w:spacing w:before="80" w:after="140"/>
        <w:ind w:left="259" w:right="259"/>
        <w:shd w:fill="F3F4F6"/>
      </w:pPr>
      <w:r>
        <w:rPr>
          <w:rFonts w:ascii="Consolas" w:hAnsi="Consolas"/>
          <w:sz w:val="18"/>
        </w:rPr>
        <w:t>LFM2-700M base</w:t>
        <w:br/>
        <w:t xml:space="preserve">        +</w:t>
        <w:br/>
        <w:t>LoRA final_adapter</w:t>
        <w:br/>
        <w:t xml:space="preserve">        |</w:t>
        <w:br/>
        <w:t xml:space="preserve">        v</w:t>
        <w:br/>
        <w:t>PeftModel</w:t>
        <w:br/>
        <w:t xml:space="preserve">        |  merge_and_unload()</w:t>
        <w:br/>
        <w:t xml:space="preserve">        v</w:t>
        <w:br/>
        <w:t>LFM2-700M merged (Hugging Face / Safetensors)</w:t>
      </w:r>
    </w:p>
    <w:p>
      <w:r>
        <w:t>Il modello merged sarà poi usato come input per:</w:t>
      </w:r>
    </w:p>
    <w:p>
      <w:pPr>
        <w:pStyle w:val="ListBullet"/>
        <w:spacing w:after="60"/>
      </w:pPr>
      <w:r>
        <w:t>H - valutazione finale sul test set;</w:t>
      </w:r>
    </w:p>
    <w:p>
      <w:pPr>
        <w:pStyle w:val="ListBullet"/>
        <w:spacing w:after="60"/>
      </w:pPr>
      <w:r>
        <w:t>I - conversione dal formato Hugging Face a GGUF;</w:t>
      </w:r>
    </w:p>
    <w:p>
      <w:pPr>
        <w:pStyle w:val="ListBullet"/>
        <w:spacing w:after="60"/>
      </w:pPr>
      <w:r>
        <w:t>J - successiva quantizzazione del GGUF per il deployment Edge.</w:t>
      </w:r>
    </w:p>
    <w:p>
      <w:pPr>
        <w:pStyle w:val="Heading1"/>
        <w:keepNext/>
      </w:pPr>
      <w:r>
        <w:t>2. Concetti fondamentali</w:t>
      </w:r>
    </w:p>
    <w:p>
      <w:pPr>
        <w:pStyle w:val="Heading2"/>
        <w:keepNext/>
      </w:pPr>
      <w:r>
        <w:t>2.1 Modello base</w:t>
      </w:r>
    </w:p>
    <w:p>
      <w:r>
        <w:t>Il modello base è il checkpoint originale LFM2-700M caricato da Hugging Face tramite AutoModelForCausalLM. Contiene tutti i pesi della rete neurale prima dell’adattamento al caso d’uso delle causali di bonifico. Lo script non duplica il nome del modello: lo importa da training/training_config.py, mantenendo un’unica sorgente di configurazione per training e post-training.</w:t>
      </w:r>
    </w:p>
    <w:p>
      <w:pPr>
        <w:spacing w:before="80" w:after="140"/>
        <w:ind w:left="259" w:right="259"/>
        <w:shd w:fill="F3F4F6"/>
      </w:pPr>
      <w:r>
        <w:rPr>
          <w:rFonts w:ascii="Consolas" w:hAnsi="Consolas"/>
          <w:sz w:val="18"/>
        </w:rPr>
        <w:t>from training_config import MODEL_NAME</w:t>
      </w:r>
    </w:p>
    <w:tbl>
      <w:tblPr>
        <w:tblW w:type="auto" w:w="0"/>
        <w:jc w:val="center"/>
        <w:tblLayout w:type="autofit"/>
        <w:tblLook w:firstColumn="1" w:firstRow="1" w:lastColumn="0" w:lastRow="0" w:noHBand="0" w:noVBand="1" w:val="04A0"/>
      </w:tblPr>
      <w:tblGrid>
        <w:gridCol w:w="9936"/>
      </w:tblGrid>
      <w:tr>
        <w:tc>
          <w:tcPr>
            <w:tcW w:type="dxa" w:w="9936"/>
            <w:shd w:fill="FFF2CC"/>
            <w:tcBorders>
              <w:top w:val="single" w:sz="8" w:color="BF9000"/>
              <w:left w:val="single" w:sz="8" w:color="BF9000"/>
              <w:bottom w:val="single" w:sz="8" w:color="BF9000"/>
              <w:right w:val="single" w:sz="8" w:color="BF9000"/>
            </w:tcBorders>
          </w:tcPr>
          <w:p>
            <w:pPr>
              <w:spacing w:after="40"/>
            </w:pPr>
            <w:r>
              <w:rPr>
                <w:b/>
                <w:color w:val="BF9000"/>
                <w:sz w:val="21"/>
              </w:rPr>
              <w:t>Perché riutilizzare MODEL_NAME?</w:t>
            </w:r>
          </w:p>
          <w:p>
            <w:pPr>
              <w:spacing w:after="40"/>
            </w:pPr>
            <w:r>
              <w:rPr>
                <w:sz w:val="20"/>
              </w:rPr>
              <w:t>Evita che training e merge puntino accidentalmente a modelli base diversi. Se il modello viene cambiato nel file di configurazione, lo stesso identificatore viene riutilizzato anche dal merge.</w:t>
            </w:r>
          </w:p>
        </w:tc>
      </w:tr>
    </w:tbl>
    <w:p>
      <w:pPr>
        <w:spacing w:after="0"/>
      </w:pPr>
    </w:p>
    <w:p>
      <w:pPr>
        <w:pStyle w:val="Heading2"/>
        <w:keepNext/>
      </w:pPr>
      <w:r>
        <w:t>2.2 LoRA - Low-Rank Adaptation</w:t>
      </w:r>
    </w:p>
    <w:p>
      <w:r>
        <w:t>LoRA è una tecnica di parameter-efficient fine-tuning (PEFT). Invece di aggiornare e salvare tutti i pesi del modello, aggiunge piccole matrici allenabili a determinati moduli della rete. La maggior parte dei parametri del modello base resta quindi invariata durante il training.</w:t>
      </w:r>
    </w:p>
    <w:p>
      <w:r>
        <w:t>Il risultato del fine-tuning LoRA è un adapter: un insieme relativamente piccolo di pesi e configurazioni che rappresenta le modifiche apprese sul dataset. Da solo, l’adapter non sostituisce il modello base: per l’inferenza può essere caricato sopra il base model oppure può essere incorporato tramite merge.</w:t>
      </w:r>
    </w:p>
    <w:p>
      <w:pPr>
        <w:pStyle w:val="Heading2"/>
        <w:keepNext/>
      </w:pPr>
      <w:r>
        <w:t>2.3 PEFT e PeftModel</w:t>
      </w:r>
    </w:p>
    <w:p>
      <w:r>
        <w:t>PEFT è la libreria Hugging Face utilizzata per gestire adapter come LoRA. Lo script carica il modello base e successivamente applica l’adapter mediante PeftModel.from_pretrained(...). In questa fase il modello risultante è ancora composto logicamente da modello base + adapter separato.</w:t>
      </w:r>
    </w:p>
    <w:p>
      <w:pPr>
        <w:spacing w:before="80" w:after="140"/>
        <w:ind w:left="259" w:right="259"/>
        <w:shd w:fill="F3F4F6"/>
      </w:pPr>
      <w:r>
        <w:rPr>
          <w:rFonts w:ascii="Consolas" w:hAnsi="Consolas"/>
          <w:sz w:val="18"/>
        </w:rPr>
        <w:t>peft_model = PeftModel.from_pretrained(</w:t>
        <w:br/>
        <w:t xml:space="preserve">    base_model,</w:t>
        <w:br/>
        <w:t xml:space="preserve">    adapter_dir,</w:t>
        <w:br/>
        <w:t xml:space="preserve">    is_trainable=False,</w:t>
        <w:br/>
        <w:t>)</w:t>
      </w:r>
    </w:p>
    <w:p>
      <w:r>
        <w:t>Il parametro is_trainable=False indica che l’adapter viene caricato per uso post-training/inferenza e non per continuare ad aggiornare i suoi parametri.</w:t>
      </w:r>
    </w:p>
    <w:p>
      <w:pPr>
        <w:pStyle w:val="Heading2"/>
        <w:keepNext/>
      </w:pPr>
      <w:r>
        <w:t>2.4 Merge LoRA</w:t>
      </w:r>
    </w:p>
    <w:p>
      <w:r>
        <w:t>Il merge è l’operazione con cui l’effetto delle matrici LoRA viene incorporato nei pesi del modello base. Dopo il merge non è più necessario caricare separatamente l’adapter per utilizzare il comportamento fine-tuned.</w:t>
      </w:r>
    </w:p>
    <w:p>
      <w:pPr>
        <w:spacing w:before="80" w:after="140"/>
        <w:ind w:left="259" w:right="259"/>
        <w:shd w:fill="F3F4F6"/>
      </w:pPr>
      <w:r>
        <w:rPr>
          <w:rFonts w:ascii="Consolas" w:hAnsi="Consolas"/>
          <w:sz w:val="18"/>
        </w:rPr>
        <w:t>merged_model = peft_model.merge_and_unload(</w:t>
        <w:br/>
        <w:t xml:space="preserve">    safe_merge=True</w:t>
        <w:br/>
        <w:t>)</w:t>
      </w:r>
    </w:p>
    <w:p>
      <w:r>
        <w:t>merge_and_unload() restituisce quindi un modello non più dipendente dal wrapper PEFT per l’adapter appena incorporato. L’opzione safe_merge=True abilita un controllo di sicurezza durante il processo di fusione, riducendo il rischio di accettare un merge numericamente anomalo.</w:t>
      </w:r>
    </w:p>
    <w:tbl>
      <w:tblPr>
        <w:tblW w:type="auto" w:w="0"/>
        <w:jc w:val="center"/>
        <w:tblLayout w:type="autofit"/>
        <w:tblLook w:firstColumn="1" w:firstRow="1" w:lastColumn="0" w:lastRow="0" w:noHBand="0" w:noVBand="1" w:val="04A0"/>
      </w:tblPr>
      <w:tblGrid>
        <w:gridCol w:w="9936"/>
      </w:tblGrid>
      <w:tr>
        <w:tc>
          <w:tcPr>
            <w:tcW w:type="dxa" w:w="9936"/>
            <w:shd w:fill="FCE4D6"/>
            <w:tcBorders>
              <w:top w:val="single" w:sz="8" w:color="C65911"/>
              <w:left w:val="single" w:sz="8" w:color="C65911"/>
              <w:bottom w:val="single" w:sz="8" w:color="C65911"/>
              <w:right w:val="single" w:sz="8" w:color="C65911"/>
            </w:tcBorders>
          </w:tcPr>
          <w:p>
            <w:pPr>
              <w:spacing w:after="40"/>
            </w:pPr>
            <w:r>
              <w:rPr>
                <w:b/>
                <w:color w:val="C65911"/>
                <w:sz w:val="21"/>
              </w:rPr>
              <w:t>Cosa NON significa il merge</w:t>
            </w:r>
          </w:p>
          <w:p>
            <w:pPr>
              <w:spacing w:after="40"/>
            </w:pPr>
            <w:r>
              <w:rPr>
                <w:sz w:val="20"/>
              </w:rPr>
              <w:t>Il merge non è una nuova fase di training, non usa train/validation/test e non aggiorna i pesi tramite gradient descent. È una trasformazione dei pesi già ottenuti dal fine-tuning.</w:t>
            </w:r>
          </w:p>
        </w:tc>
      </w:tr>
    </w:tbl>
    <w:p>
      <w:pPr>
        <w:spacing w:after="0"/>
      </w:pPr>
    </w:p>
    <w:p>
      <w:pPr>
        <w:pStyle w:val="Heading2"/>
        <w:keepNext/>
      </w:pPr>
      <w:r>
        <w:t>2.5 Tokenizer</w:t>
      </w:r>
    </w:p>
    <w:p>
      <w:r>
        <w:t>Il tokenizer trasforma testo e token secondo il vocabolario e le regole del modello. Anche se il merge riguarda principalmente i pesi, lo script salva anche il tokenizer nella directory finale, così il checkpoint merged rimane completo e riutilizzabile dalle fasi successive.</w:t>
      </w:r>
    </w:p>
    <w:p>
      <w:pPr>
        <w:spacing w:before="80" w:after="140"/>
        <w:ind w:left="259" w:right="259"/>
        <w:shd w:fill="F3F4F6"/>
      </w:pPr>
      <w:r>
        <w:rPr>
          <w:rFonts w:ascii="Consolas" w:hAnsi="Consolas"/>
          <w:sz w:val="18"/>
        </w:rPr>
        <w:t>tokenizer = AutoTokenizer.from_pretrained(MODEL_NAME, trust_remote_code=True)</w:t>
        <w:br/>
        <w:t>...</w:t>
        <w:br/>
        <w:t>tokenizer.save_pretrained(merged_dir)</w:t>
      </w:r>
    </w:p>
    <w:p>
      <w:r>
        <w:t>Se il modello non espone un pad token separato, lo script usa eos_token come pad_token e mantiene padding_side="right", coerentemente con la configurazione adottata nel training.</w:t>
      </w:r>
    </w:p>
    <w:p>
      <w:pPr>
        <w:pStyle w:val="Heading2"/>
        <w:keepNext/>
      </w:pPr>
      <w:r>
        <w:t>2.6 FP16</w:t>
      </w:r>
    </w:p>
    <w:p>
      <w:r>
        <w:t>Il modello base viene caricato con torch.float16. FP16 rappresenta i valori floating point a 16 bit invece dei tradizionali 32 bit: riduce l’occupazione di memoria e rende il caricamento più adatto a una GPU come quella prevista sulla EC2.</w:t>
      </w:r>
    </w:p>
    <w:p>
      <w:pPr>
        <w:spacing w:before="80" w:after="140"/>
        <w:ind w:left="259" w:right="259"/>
        <w:shd w:fill="F3F4F6"/>
      </w:pPr>
      <w:r>
        <w:rPr>
          <w:rFonts w:ascii="Consolas" w:hAnsi="Consolas"/>
          <w:sz w:val="18"/>
        </w:rPr>
        <w:t>torch_dtype=torch.float16</w:t>
      </w:r>
    </w:p>
    <w:p>
      <w:r>
        <w:t>Questo formato riguarda il modo in cui il modello è caricato durante il merge. La quantizzazione GGUF del punto J è una fase successiva e concettualmente diversa.</w:t>
      </w:r>
    </w:p>
    <w:p>
      <w:pPr>
        <w:pStyle w:val="Heading2"/>
        <w:keepNext/>
      </w:pPr>
      <w:r>
        <w:t>2.7 device_map="auto"</w:t>
      </w:r>
    </w:p>
    <w:p>
      <w:r>
        <w:t>device_map="auto" delega alla stack Hugging Face/Accelerate la scelta del dispositivo su cui collocare i componenti del modello in base alle risorse disponibili. In presenza della GPU EC2, l’obiettivo è sfruttare automaticamente l’accelerazione disponibile senza codificare manualmente uno specifico indice CUDA nello script.</w:t>
      </w:r>
    </w:p>
    <w:p>
      <w:pPr>
        <w:pStyle w:val="Heading2"/>
        <w:keepNext/>
      </w:pPr>
      <w:r>
        <w:t>2.8 Safetensors</w:t>
      </w:r>
    </w:p>
    <w:p>
      <w:r>
        <w:t>Il modello merged viene salvato con safe_serialization=True. Questo richiede il formato Safetensors per i tensori del checkpoint. La directory finale mantiene quindi il formato standard Hugging Face e può essere caricata con from_pretrained() nelle fasi successive.</w:t>
      </w:r>
    </w:p>
    <w:p>
      <w:pPr>
        <w:spacing w:before="80" w:after="140"/>
        <w:ind w:left="259" w:right="259"/>
        <w:shd w:fill="F3F4F6"/>
      </w:pPr>
      <w:r>
        <w:rPr>
          <w:rFonts w:ascii="Consolas" w:hAnsi="Consolas"/>
          <w:sz w:val="18"/>
        </w:rPr>
        <w:t>merged_model.save_pretrained(</w:t>
        <w:br/>
        <w:t xml:space="preserve">    merged_dir,</w:t>
        <w:br/>
        <w:t xml:space="preserve">    safe_serialization=True,</w:t>
        <w:br/>
        <w:t>)</w:t>
      </w:r>
    </w:p>
    <w:p>
      <w:pPr>
        <w:pStyle w:val="Heading1"/>
        <w:keepNext/>
      </w:pPr>
      <w:r>
        <w:t>3. Supporto ai due dataset: GPTPlus e Claude</w:t>
      </w:r>
    </w:p>
    <w:p>
      <w:r>
        <w:t>Lo script è unico per entrambi gli esperimenti. L’argomento obbligatorio --dataset accetta solo due valori: gptplus e claude. Questa scelta evita di mantenere due script quasi identici e riduce il rischio di divergenze tra le pipeline sperimentali.</w:t>
      </w:r>
    </w:p>
    <w:p>
      <w:pPr>
        <w:spacing w:before="80" w:after="140"/>
        <w:ind w:left="259" w:right="259"/>
        <w:shd w:fill="F3F4F6"/>
      </w:pPr>
      <w:r>
        <w:rPr>
          <w:rFonts w:ascii="Consolas" w:hAnsi="Consolas"/>
          <w:sz w:val="18"/>
        </w:rPr>
        <w:t>python post_training/merge_lora.py --dataset gptplus</w:t>
        <w:br/>
        <w:t>python post_training/merge_lora.py --dataset claude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Dataset</w:t>
            </w:r>
          </w:p>
        </w:tc>
        <w:tc>
          <w:tcPr>
            <w:tcW w:type="dxa" w:w="3312"/>
            <w:shd w:fill="D9EAF7"/>
          </w:tcPr>
          <w:p>
            <w:r>
              <w:rPr>
                <w:b/>
              </w:rPr>
              <w:t>Adapter di input</w:t>
            </w:r>
          </w:p>
        </w:tc>
        <w:tc>
          <w:tcPr>
            <w:tcW w:type="dxa" w:w="3312"/>
            <w:shd w:fill="D9EAF7"/>
          </w:tcPr>
          <w:p>
            <w:r>
              <w:rPr>
                <w:b/>
              </w:rPr>
              <w:t>Modello merged di output</w:t>
            </w:r>
          </w:p>
        </w:tc>
      </w:tr>
      <w:tr>
        <w:tc>
          <w:tcPr>
            <w:tcW w:type="dxa" w:w="3312"/>
            <w:vAlign w:val="center"/>
          </w:tcPr>
          <w:p>
            <w:r>
              <w:rPr>
                <w:sz w:val="18"/>
              </w:rPr>
              <w:t>GPTPlus</w:t>
            </w:r>
          </w:p>
        </w:tc>
        <w:tc>
          <w:tcPr>
            <w:tcW w:type="dxa" w:w="3312"/>
            <w:vAlign w:val="center"/>
          </w:tcPr>
          <w:p>
            <w:r>
              <w:rPr>
                <w:sz w:val="18"/>
              </w:rPr>
              <w:t>models/lfm2_700m_gptplus_lora/final_adapter</w:t>
            </w:r>
          </w:p>
        </w:tc>
        <w:tc>
          <w:tcPr>
            <w:tcW w:type="dxa" w:w="3312"/>
            <w:vAlign w:val="center"/>
          </w:tcPr>
          <w:p>
            <w:r>
              <w:rPr>
                <w:sz w:val="18"/>
              </w:rPr>
              <w:t>models/lfm2_700m_gptplus_merged</w:t>
            </w:r>
          </w:p>
        </w:tc>
      </w:tr>
      <w:tr>
        <w:tc>
          <w:tcPr>
            <w:tcW w:type="dxa" w:w="3312"/>
            <w:vAlign w:val="center"/>
          </w:tcPr>
          <w:p>
            <w:r>
              <w:rPr>
                <w:sz w:val="18"/>
              </w:rPr>
              <w:t>Claude</w:t>
            </w:r>
          </w:p>
        </w:tc>
        <w:tc>
          <w:tcPr>
            <w:tcW w:type="dxa" w:w="3312"/>
            <w:vAlign w:val="center"/>
          </w:tcPr>
          <w:p>
            <w:r>
              <w:rPr>
                <w:sz w:val="18"/>
              </w:rPr>
              <w:t>models/lfm2_700m_claude_lora/final_adapter</w:t>
            </w:r>
          </w:p>
        </w:tc>
        <w:tc>
          <w:tcPr>
            <w:tcW w:type="dxa" w:w="3312"/>
            <w:vAlign w:val="center"/>
          </w:tcPr>
          <w:p>
            <w:r>
              <w:rPr>
                <w:sz w:val="18"/>
              </w:rPr>
              <w:t>models/lfm2_700m_claude_merged</w:t>
            </w:r>
          </w:p>
        </w:tc>
      </w:tr>
    </w:tbl>
    <w:tbl>
      <w:tblPr>
        <w:tblW w:type="auto" w:w="0"/>
        <w:jc w:val="center"/>
        <w:tblLayout w:type="autofit"/>
        <w:tblLook w:firstColumn="1" w:firstRow="1" w:lastColumn="0" w:lastRow="0" w:noHBand="0" w:noVBand="1" w:val="04A0"/>
      </w:tblPr>
      <w:tblGrid>
        <w:gridCol w:w="9936"/>
      </w:tblGrid>
      <w:tr>
        <w:tc>
          <w:tcPr>
            <w:tcW w:type="dxa" w:w="9936"/>
            <w:shd w:fill="E2F0D9"/>
            <w:tcBorders>
              <w:top w:val="single" w:sz="8" w:color="548235"/>
              <w:left w:val="single" w:sz="8" w:color="548235"/>
              <w:bottom w:val="single" w:sz="8" w:color="548235"/>
              <w:right w:val="single" w:sz="8" w:color="548235"/>
            </w:tcBorders>
          </w:tcPr>
          <w:p>
            <w:pPr>
              <w:spacing w:after="40"/>
            </w:pPr>
            <w:r>
              <w:rPr>
                <w:b/>
                <w:color w:val="548235"/>
                <w:sz w:val="21"/>
              </w:rPr>
              <w:t>Separazione sperimentale</w:t>
            </w:r>
          </w:p>
          <w:p>
            <w:pPr>
              <w:spacing w:after="40"/>
            </w:pPr>
            <w:r>
              <w:rPr>
                <w:sz w:val="20"/>
              </w:rPr>
              <w:t>GPTPlus e Claude producono adapter e modelli merged distinti. In questo modo i risultati dei due fine-tuning non vengono mescolati e possono essere valutati separatamente nel punto H.</w:t>
            </w:r>
          </w:p>
        </w:tc>
      </w:tr>
    </w:tbl>
    <w:p>
      <w:pPr>
        <w:spacing w:after="0"/>
      </w:pPr>
    </w:p>
    <w:p>
      <w:pPr>
        <w:pStyle w:val="Heading1"/>
        <w:keepNext/>
      </w:pPr>
      <w:r>
        <w:t>4. Struttura del codice e flusso operativo</w:t>
      </w:r>
    </w:p>
    <w:p>
      <w:pPr>
        <w:pStyle w:val="Heading2"/>
        <w:keepNext/>
      </w:pPr>
      <w:r>
        <w:t>4.1 Individuazione della root del progetto</w:t>
      </w:r>
    </w:p>
    <w:p>
      <w:r>
        <w:t>PROJECT_ROOT viene calcolata partendo dalla posizione fisica dello script. Supponendo merge_lora.py dentro post_training/, parent.parent identifica la directory principale del repository.</w:t>
      </w:r>
    </w:p>
    <w:p>
      <w:pPr>
        <w:spacing w:before="80" w:after="140"/>
        <w:ind w:left="259" w:right="259"/>
        <w:shd w:fill="F3F4F6"/>
      </w:pPr>
      <w:r>
        <w:rPr>
          <w:rFonts w:ascii="Consolas" w:hAnsi="Consolas"/>
          <w:sz w:val="18"/>
        </w:rPr>
        <w:t>PROJECT_ROOT = Path(__file__).resolve().parent.parent</w:t>
      </w:r>
    </w:p>
    <w:p>
      <w:pPr>
        <w:pStyle w:val="Heading2"/>
        <w:keepNext/>
      </w:pPr>
      <w:r>
        <w:t>4.2 Import della configurazione di training</w:t>
      </w:r>
    </w:p>
    <w:p>
      <w:r>
        <w:t>Lo script aggiunge temporaneamente training/ al percorso di import Python e recupera MODEL_NAME da training_config.py. Il vantaggio è mantenere coerente il modello base tra train_lora.py e merge_lora.py.</w:t>
      </w:r>
    </w:p>
    <w:p>
      <w:pPr>
        <w:pStyle w:val="Heading2"/>
        <w:keepNext/>
      </w:pPr>
      <w:r>
        <w:t>4.3 Parsing dell’argomento --dataset</w:t>
      </w:r>
    </w:p>
    <w:p>
      <w:r>
        <w:t>argparse rende obbligatoria la scelta del ramo sperimentale. Qualsiasi valore diverso da gptplus o claude viene rifiutato prima dell’esecuzione del merge.</w:t>
      </w:r>
    </w:p>
    <w:p>
      <w:pPr>
        <w:pStyle w:val="Heading2"/>
        <w:keepNext/>
      </w:pPr>
      <w:r>
        <w:t>4.4 Costruzione automatica dei path</w:t>
      </w:r>
    </w:p>
    <w:p>
      <w:r>
        <w:t>get_adapter_dir() individua l’adapter salvato dal training. get_merged_dir() costruisce invece la directory di destinazione del checkpoint finale. Il nome del dataset entra direttamente nel path e garantisce la separazione degli output.</w:t>
      </w:r>
    </w:p>
    <w:p>
      <w:pPr>
        <w:pStyle w:val="Heading2"/>
        <w:keepNext/>
      </w:pPr>
      <w:r>
        <w:t>4.5 Validazione degli input e protezione degli output</w:t>
      </w:r>
    </w:p>
    <w:p>
      <w:r>
        <w:t>Prima di caricare il modello, lo script esegue due controlli principali:</w:t>
      </w:r>
    </w:p>
    <w:p>
      <w:pPr>
        <w:pStyle w:val="ListBullet"/>
        <w:spacing w:after="60"/>
      </w:pPr>
      <w:r>
        <w:t>verifica che la directory dell’adapter esista;</w:t>
      </w:r>
    </w:p>
    <w:p>
      <w:pPr>
        <w:pStyle w:val="ListBullet"/>
        <w:spacing w:after="60"/>
      </w:pPr>
      <w:r>
        <w:t>verifica che adapter_config.json sia presente;</w:t>
      </w:r>
    </w:p>
    <w:p>
      <w:pPr>
        <w:pStyle w:val="ListBullet"/>
        <w:spacing w:after="60"/>
      </w:pPr>
      <w:r>
        <w:t>rifiuta l’esecuzione se la directory del modello merged esiste già ed è non vuota.</w:t>
      </w:r>
    </w:p>
    <w:p>
      <w:r>
        <w:t>L’ultimo controllo è particolarmente utile perché evita di sovrascrivere inavvertitamente un modello merged già prodotto da un esperimento precedente.</w:t>
      </w:r>
    </w:p>
    <w:p>
      <w:pPr>
        <w:pStyle w:val="Heading2"/>
        <w:keepNext/>
      </w:pPr>
      <w:r>
        <w:t>4.6 Caricamento di tokenizer e modello base</w:t>
      </w:r>
    </w:p>
    <w:p>
      <w:r>
        <w:t>Il tokenizer e il modello vengono caricati tramite le API Auto* di Transformers. trust_remote_code=True consente l’uso dell’implementazione Python specifica eventualmente fornita dal repository del modello.</w:t>
      </w:r>
    </w:p>
    <w:tbl>
      <w:tblPr>
        <w:tblW w:type="auto" w:w="0"/>
        <w:jc w:val="center"/>
        <w:tblLayout w:type="autofit"/>
        <w:tblLook w:firstColumn="1" w:firstRow="1" w:lastColumn="0" w:lastRow="0" w:noHBand="0" w:noVBand="1" w:val="04A0"/>
      </w:tblPr>
      <w:tblGrid>
        <w:gridCol w:w="9936"/>
      </w:tblGrid>
      <w:tr>
        <w:tc>
          <w:tcPr>
            <w:tcW w:type="dxa" w:w="9936"/>
            <w:shd w:fill="FFF2CC"/>
            <w:tcBorders>
              <w:top w:val="single" w:sz="8" w:color="BF9000"/>
              <w:left w:val="single" w:sz="8" w:color="BF9000"/>
              <w:bottom w:val="single" w:sz="8" w:color="BF9000"/>
              <w:right w:val="single" w:sz="8" w:color="BF9000"/>
            </w:tcBorders>
          </w:tcPr>
          <w:p>
            <w:pPr>
              <w:spacing w:after="40"/>
            </w:pPr>
            <w:r>
              <w:rPr>
                <w:b/>
                <w:color w:val="BF9000"/>
                <w:sz w:val="21"/>
              </w:rPr>
              <w:t>Nota su trust_remote_code</w:t>
            </w:r>
          </w:p>
          <w:p>
            <w:pPr>
              <w:spacing w:after="40"/>
            </w:pPr>
            <w:r>
              <w:rPr>
                <w:sz w:val="20"/>
              </w:rPr>
              <w:t>Questa opzione autorizza l’esecuzione del codice personalizzato associato al repository del modello. Nel progetto viene usata perché il modello scelto può richiedere componenti non coperti integralmente dalle classi standard di Transformers.</w:t>
            </w:r>
          </w:p>
        </w:tc>
      </w:tr>
    </w:tbl>
    <w:p>
      <w:pPr>
        <w:spacing w:after="0"/>
      </w:pPr>
    </w:p>
    <w:p>
      <w:pPr>
        <w:pStyle w:val="Heading2"/>
        <w:keepNext/>
      </w:pPr>
      <w:r>
        <w:t>4.7 Caricamento dell’adapter</w:t>
      </w:r>
    </w:p>
    <w:p>
      <w:r>
        <w:t>PeftModel.from_pretrained() combina temporaneamente il modello base con i pesi LoRA presenti nella directory final_adapter. A questo punto le modifiche apprese sono attive, ma adapter e base model sono ancora due componenti distinti.</w:t>
      </w:r>
    </w:p>
    <w:p>
      <w:pPr>
        <w:pStyle w:val="Heading2"/>
        <w:keepNext/>
      </w:pPr>
      <w:r>
        <w:t>4.8 Modalità eval()</w:t>
      </w:r>
    </w:p>
    <w:p>
      <w:r>
        <w:t>peft_model.eval() e merged_model.eval() impostano i moduli in modalità di valutazione. Questo disattiva i comportamenti tipici del training, come il dropout, e prepara il modello per un uso deterministico in inferenza/post-training. Non avviene alcun aggiornamento dei pesi.</w:t>
      </w:r>
    </w:p>
    <w:p>
      <w:pPr>
        <w:pStyle w:val="Heading2"/>
        <w:keepNext/>
      </w:pPr>
      <w:r>
        <w:t>4.9 Merge e salvataggio</w:t>
      </w:r>
    </w:p>
    <w:p>
      <w:r>
        <w:t>Dopo merge_and_unload(), lo script crea la directory di output, salva il checkpoint merged in Safetensors e salva il tokenizer. L’output è quindi un normale modello Hugging Face completo.</w:t>
      </w:r>
    </w:p>
    <w:p>
      <w:pPr>
        <w:pStyle w:val="Heading2"/>
        <w:keepNext/>
      </w:pPr>
      <w:r>
        <w:t>4.10 Verifica finale</w:t>
      </w:r>
    </w:p>
    <w:p>
      <w:r>
        <w:t>Al termine vengono controllati due artefatti minimi: config.json e almeno un file con estensione .safetensors. Se uno dei due manca, lo script solleva un RuntimeError invece di dichiarare il merge concluso correttamente.</w:t>
      </w:r>
    </w:p>
    <w:p>
      <w:pPr>
        <w:pStyle w:val="Heading1"/>
        <w:keepNext/>
      </w:pPr>
      <w:r>
        <w:t>5. Input e output dello script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Elemento</w:t>
            </w:r>
          </w:p>
        </w:tc>
        <w:tc>
          <w:tcPr>
            <w:tcW w:type="dxa" w:w="3312"/>
            <w:shd w:fill="D9EAF7"/>
          </w:tcPr>
          <w:p>
            <w:r>
              <w:rPr>
                <w:b/>
              </w:rPr>
              <w:t>Tipo</w:t>
            </w:r>
          </w:p>
        </w:tc>
        <w:tc>
          <w:tcPr>
            <w:tcW w:type="dxa" w:w="3312"/>
            <w:shd w:fill="D9EAF7"/>
          </w:tcPr>
          <w:p>
            <w:r>
              <w:rPr>
                <w:b/>
              </w:rPr>
              <w:t>Funzione</w:t>
            </w:r>
          </w:p>
        </w:tc>
      </w:tr>
      <w:tr>
        <w:tc>
          <w:tcPr>
            <w:tcW w:type="dxa" w:w="3312"/>
          </w:tcPr>
          <w:p>
            <w:r>
              <w:rPr>
                <w:sz w:val="18"/>
              </w:rPr>
              <w:t>MODEL_NAME</w:t>
            </w:r>
          </w:p>
        </w:tc>
        <w:tc>
          <w:tcPr>
            <w:tcW w:type="dxa" w:w="3312"/>
          </w:tcPr>
          <w:p>
            <w:r>
              <w:rPr>
                <w:sz w:val="18"/>
              </w:rPr>
              <w:t>Configurazione</w:t>
            </w:r>
          </w:p>
        </w:tc>
        <w:tc>
          <w:tcPr>
            <w:tcW w:type="dxa" w:w="3312"/>
          </w:tcPr>
          <w:p>
            <w:r>
              <w:rPr>
                <w:sz w:val="18"/>
              </w:rPr>
              <w:t>Identifica il modello base LFM2-700M usato anche nel training.</w:t>
            </w:r>
          </w:p>
        </w:tc>
      </w:tr>
      <w:tr>
        <w:tc>
          <w:tcPr>
            <w:tcW w:type="dxa" w:w="3312"/>
          </w:tcPr>
          <w:p>
            <w:r>
              <w:rPr>
                <w:sz w:val="18"/>
              </w:rPr>
              <w:t>final_adapter/</w:t>
            </w:r>
          </w:p>
        </w:tc>
        <w:tc>
          <w:tcPr>
            <w:tcW w:type="dxa" w:w="3312"/>
          </w:tcPr>
          <w:p>
            <w:r>
              <w:rPr>
                <w:sz w:val="18"/>
              </w:rPr>
              <w:t>Input</w:t>
            </w:r>
          </w:p>
        </w:tc>
        <w:tc>
          <w:tcPr>
            <w:tcW w:type="dxa" w:w="3312"/>
          </w:tcPr>
          <w:p>
            <w:r>
              <w:rPr>
                <w:sz w:val="18"/>
              </w:rPr>
              <w:t>Contiene l’adapter LoRA prodotto dal fine-tuning.</w:t>
            </w:r>
          </w:p>
        </w:tc>
      </w:tr>
      <w:tr>
        <w:tc>
          <w:tcPr>
            <w:tcW w:type="dxa" w:w="3312"/>
          </w:tcPr>
          <w:p>
            <w:r>
              <w:rPr>
                <w:sz w:val="18"/>
              </w:rPr>
              <w:t>adapter_config.json</w:t>
            </w:r>
          </w:p>
        </w:tc>
        <w:tc>
          <w:tcPr>
            <w:tcW w:type="dxa" w:w="3312"/>
          </w:tcPr>
          <w:p>
            <w:r>
              <w:rPr>
                <w:sz w:val="18"/>
              </w:rPr>
              <w:t>Controllo input</w:t>
            </w:r>
          </w:p>
        </w:tc>
        <w:tc>
          <w:tcPr>
            <w:tcW w:type="dxa" w:w="3312"/>
          </w:tcPr>
          <w:p>
            <w:r>
              <w:rPr>
                <w:sz w:val="18"/>
              </w:rPr>
              <w:t>Conferma che la directory abbia la struttura attesa per un adapter PEFT.</w:t>
            </w:r>
          </w:p>
        </w:tc>
      </w:tr>
      <w:tr>
        <w:tc>
          <w:tcPr>
            <w:tcW w:type="dxa" w:w="3312"/>
          </w:tcPr>
          <w:p>
            <w:r>
              <w:rPr>
                <w:sz w:val="18"/>
              </w:rPr>
              <w:t>--dataset</w:t>
            </w:r>
          </w:p>
        </w:tc>
        <w:tc>
          <w:tcPr>
            <w:tcW w:type="dxa" w:w="3312"/>
          </w:tcPr>
          <w:p>
            <w:r>
              <w:rPr>
                <w:sz w:val="18"/>
              </w:rPr>
              <w:t>Argomento CLI</w:t>
            </w:r>
          </w:p>
        </w:tc>
        <w:tc>
          <w:tcPr>
            <w:tcW w:type="dxa" w:w="3312"/>
          </w:tcPr>
          <w:p>
            <w:r>
              <w:rPr>
                <w:sz w:val="18"/>
              </w:rPr>
              <w:t>Seleziona il ramo gptplus oppure claude.</w:t>
            </w:r>
          </w:p>
        </w:tc>
      </w:tr>
      <w:tr>
        <w:tc>
          <w:tcPr>
            <w:tcW w:type="dxa" w:w="3312"/>
          </w:tcPr>
          <w:p>
            <w:r>
              <w:rPr>
                <w:sz w:val="18"/>
              </w:rPr>
              <w:t>*_merged/</w:t>
            </w:r>
          </w:p>
        </w:tc>
        <w:tc>
          <w:tcPr>
            <w:tcW w:type="dxa" w:w="3312"/>
          </w:tcPr>
          <w:p>
            <w:r>
              <w:rPr>
                <w:sz w:val="18"/>
              </w:rPr>
              <w:t>Output</w:t>
            </w:r>
          </w:p>
        </w:tc>
        <w:tc>
          <w:tcPr>
            <w:tcW w:type="dxa" w:w="3312"/>
          </w:tcPr>
          <w:p>
            <w:r>
              <w:rPr>
                <w:sz w:val="18"/>
              </w:rPr>
              <w:t>Directory del modello Hugging Face completo dopo il merge.</w:t>
            </w:r>
          </w:p>
        </w:tc>
      </w:tr>
      <w:tr>
        <w:tc>
          <w:tcPr>
            <w:tcW w:type="dxa" w:w="3312"/>
          </w:tcPr>
          <w:p>
            <w:r>
              <w:rPr>
                <w:sz w:val="18"/>
              </w:rPr>
              <w:t>*.safetensors</w:t>
            </w:r>
          </w:p>
        </w:tc>
        <w:tc>
          <w:tcPr>
            <w:tcW w:type="dxa" w:w="3312"/>
          </w:tcPr>
          <w:p>
            <w:r>
              <w:rPr>
                <w:sz w:val="18"/>
              </w:rPr>
              <w:t>Output</w:t>
            </w:r>
          </w:p>
        </w:tc>
        <w:tc>
          <w:tcPr>
            <w:tcW w:type="dxa" w:w="3312"/>
          </w:tcPr>
          <w:p>
            <w:r>
              <w:rPr>
                <w:sz w:val="18"/>
              </w:rPr>
              <w:t>Pesi del modello merged.</w:t>
            </w:r>
          </w:p>
        </w:tc>
      </w:tr>
      <w:tr>
        <w:tc>
          <w:tcPr>
            <w:tcW w:type="dxa" w:w="3312"/>
          </w:tcPr>
          <w:p>
            <w:r>
              <w:rPr>
                <w:sz w:val="18"/>
              </w:rPr>
              <w:t>config.json</w:t>
            </w:r>
          </w:p>
        </w:tc>
        <w:tc>
          <w:tcPr>
            <w:tcW w:type="dxa" w:w="3312"/>
          </w:tcPr>
          <w:p>
            <w:r>
              <w:rPr>
                <w:sz w:val="18"/>
              </w:rPr>
              <w:t>Output</w:t>
            </w:r>
          </w:p>
        </w:tc>
        <w:tc>
          <w:tcPr>
            <w:tcW w:type="dxa" w:w="3312"/>
          </w:tcPr>
          <w:p>
            <w:r>
              <w:rPr>
                <w:sz w:val="18"/>
              </w:rPr>
              <w:t>Configurazione architetturale del modello.</w:t>
            </w:r>
          </w:p>
        </w:tc>
      </w:tr>
      <w:tr>
        <w:tc>
          <w:tcPr>
            <w:tcW w:type="dxa" w:w="3312"/>
          </w:tcPr>
          <w:p>
            <w:r>
              <w:rPr>
                <w:sz w:val="18"/>
              </w:rPr>
              <w:t>tokenizer files</w:t>
            </w:r>
          </w:p>
        </w:tc>
        <w:tc>
          <w:tcPr>
            <w:tcW w:type="dxa" w:w="3312"/>
          </w:tcPr>
          <w:p>
            <w:r>
              <w:rPr>
                <w:sz w:val="18"/>
              </w:rPr>
              <w:t>Output</w:t>
            </w:r>
          </w:p>
        </w:tc>
        <w:tc>
          <w:tcPr>
            <w:tcW w:type="dxa" w:w="3312"/>
          </w:tcPr>
          <w:p>
            <w:r>
              <w:rPr>
                <w:sz w:val="18"/>
              </w:rPr>
              <w:t>File necessari per tokenizzare correttamente input e output.</w:t>
            </w:r>
          </w:p>
        </w:tc>
      </w:tr>
    </w:tbl>
    <w:p>
      <w:pPr>
        <w:pStyle w:val="Heading1"/>
        <w:keepNext/>
      </w:pPr>
      <w:r>
        <w:t>6. Esempio di esecuzione</w:t>
      </w:r>
    </w:p>
    <w:p>
      <w:r>
        <w:t>Per il modello addestrato sul dataset GPTPlus:</w:t>
      </w:r>
    </w:p>
    <w:p>
      <w:pPr>
        <w:spacing w:before="80" w:after="140"/>
        <w:ind w:left="259" w:right="259"/>
        <w:shd w:fill="F3F4F6"/>
      </w:pPr>
      <w:r>
        <w:rPr>
          <w:rFonts w:ascii="Consolas" w:hAnsi="Consolas"/>
          <w:sz w:val="18"/>
        </w:rPr>
        <w:t>python post_training/merge_lora.py --dataset gptplus</w:t>
      </w:r>
    </w:p>
    <w:p>
      <w:r>
        <w:t>Per il modello addestrato sul dataset Claude:</w:t>
      </w:r>
    </w:p>
    <w:p>
      <w:pPr>
        <w:spacing w:before="80" w:after="140"/>
        <w:ind w:left="259" w:right="259"/>
        <w:shd w:fill="F3F4F6"/>
      </w:pPr>
      <w:r>
        <w:rPr>
          <w:rFonts w:ascii="Consolas" w:hAnsi="Consolas"/>
          <w:sz w:val="18"/>
        </w:rPr>
        <w:t>python post_training/merge_lora.py --dataset claude</w:t>
      </w:r>
    </w:p>
    <w:p>
      <w:r>
        <w:t>L’ordine operativo previsto è:</w:t>
      </w:r>
    </w:p>
    <w:p>
      <w:pPr>
        <w:spacing w:before="80" w:after="140"/>
        <w:ind w:left="259" w:right="259"/>
        <w:shd w:fill="F3F4F6"/>
      </w:pPr>
      <w:r>
        <w:rPr>
          <w:rFonts w:ascii="Consolas" w:hAnsi="Consolas"/>
          <w:sz w:val="18"/>
        </w:rPr>
        <w:t>train_lora.py</w:t>
        <w:br/>
        <w:t xml:space="preserve">    |</w:t>
        <w:br/>
        <w:t xml:space="preserve">    v</w:t>
        <w:br/>
        <w:t>final_adapter/</w:t>
        <w:br/>
        <w:t xml:space="preserve">    |</w:t>
        <w:br/>
        <w:t xml:space="preserve">    v</w:t>
        <w:br/>
        <w:t>merge_lora.py</w:t>
        <w:br/>
        <w:t xml:space="preserve">    |</w:t>
        <w:br/>
        <w:t xml:space="preserve">    v</w:t>
        <w:br/>
        <w:t>lfm2_700m_&lt;dataset&gt;_merged/</w:t>
        <w:br/>
        <w:t xml:space="preserve">    |</w:t>
        <w:br/>
        <w:t xml:space="preserve">    +--&gt; evaluate_model.py (punto H)</w:t>
        <w:br/>
        <w:t xml:space="preserve">    |</w:t>
        <w:br/>
        <w:t xml:space="preserve">    +--&gt; conversione GGUF (punto I)</w:t>
      </w:r>
    </w:p>
    <w:p>
      <w:pPr>
        <w:pStyle w:val="Heading1"/>
        <w:keepNext/>
      </w:pPr>
      <w:r>
        <w:t>7. Perché il merge è necessario nella nostra pipeline</w:t>
      </w:r>
    </w:p>
    <w:p>
      <w:r>
        <w:t>Durante il fine-tuning PEFT è vantaggioso mantenere il modello base e l’adapter separati perché si addestrano e si salvano molti meno parametri. Nelle fasi successive, però, è utile disporre di un checkpoint completo e autosufficiente.</w:t>
      </w:r>
    </w:p>
    <w:p>
      <w:pPr>
        <w:pStyle w:val="ListBullet"/>
        <w:spacing w:after="60"/>
      </w:pPr>
      <w:r>
        <w:t>La valutazione finale può caricare direttamente il modello fine-tuned come normale checkpoint Hugging Face.</w:t>
      </w:r>
    </w:p>
    <w:p>
      <w:pPr>
        <w:pStyle w:val="ListBullet"/>
        <w:spacing w:after="60"/>
      </w:pPr>
      <w:r>
        <w:t>La conversione a GGUF parte da un modello completo, non da un adapter LoRA separato.</w:t>
      </w:r>
    </w:p>
    <w:p>
      <w:pPr>
        <w:pStyle w:val="ListBullet"/>
        <w:spacing w:after="60"/>
      </w:pPr>
      <w:r>
        <w:t>Il modello merged rappresenta in modo chiaro l’artefatto finale del fine-tuning prima della compressione/quantizzazione per l’Edge.</w:t>
      </w:r>
    </w:p>
    <w:tbl>
      <w:tblPr>
        <w:tblW w:type="auto" w:w="0"/>
        <w:jc w:val="center"/>
        <w:tblLayout w:type="autofit"/>
        <w:tblLook w:firstColumn="1" w:firstRow="1" w:lastColumn="0" w:lastRow="0" w:noHBand="0" w:noVBand="1" w:val="04A0"/>
      </w:tblPr>
      <w:tblGrid>
        <w:gridCol w:w="9936"/>
      </w:tblGrid>
      <w:tr>
        <w:tc>
          <w:tcPr>
            <w:tcW w:type="dxa" w:w="9936"/>
            <w:shd w:fill="EAF2F8"/>
            <w:tcBorders>
              <w:top w:val="single" w:sz="8" w:color="2F5597"/>
              <w:left w:val="single" w:sz="8" w:color="2F5597"/>
              <w:bottom w:val="single" w:sz="8" w:color="2F5597"/>
              <w:right w:val="single" w:sz="8" w:color="2F5597"/>
            </w:tcBorders>
          </w:tcPr>
          <w:p>
            <w:pPr>
              <w:spacing w:after="40"/>
            </w:pPr>
            <w:r>
              <w:rPr>
                <w:b/>
                <w:color w:val="2F5597"/>
                <w:sz w:val="21"/>
              </w:rPr>
              <w:t>Distinzione importante</w:t>
            </w:r>
          </w:p>
          <w:p>
            <w:pPr>
              <w:spacing w:after="40"/>
            </w:pPr>
            <w:r>
              <w:rPr>
                <w:sz w:val="20"/>
              </w:rPr>
              <w:t>Adapter LoRA = modifica compatta da applicare al modello base.</w:t>
              <w:br/>
              <w:t>Modello merged = modello completo che incorpora già quella modifica.</w:t>
              <w:br/>
              <w:t>GGUF quantizzato = formato di deployment successivo, ottimizzato per llama.cpp e dispositivi Edge.</w:t>
            </w:r>
          </w:p>
        </w:tc>
      </w:tr>
    </w:tbl>
    <w:p>
      <w:pPr>
        <w:spacing w:after="0"/>
      </w:pPr>
    </w:p>
    <w:p>
      <w:pPr>
        <w:pStyle w:val="Heading1"/>
        <w:keepNext/>
      </w:pPr>
      <w:r>
        <w:t>8. Aspetti di robustezza già presenti nello script</w:t>
      </w:r>
    </w:p>
    <w:p>
      <w:pPr>
        <w:pStyle w:val="ListBullet"/>
        <w:spacing w:after="60"/>
      </w:pPr>
      <w:r>
        <w:t>Un unico script per GPTPlus e Claude mediante --dataset.</w:t>
      </w:r>
    </w:p>
    <w:p>
      <w:pPr>
        <w:pStyle w:val="ListBullet"/>
        <w:spacing w:after="60"/>
      </w:pPr>
      <w:r>
        <w:t>MODEL_NAME condiviso con il training tramite training_config.py.</w:t>
      </w:r>
    </w:p>
    <w:p>
      <w:pPr>
        <w:pStyle w:val="ListBullet"/>
        <w:spacing w:after="60"/>
      </w:pPr>
      <w:r>
        <w:t>Controllo dell’esistenza della directory final_adapter.</w:t>
      </w:r>
    </w:p>
    <w:p>
      <w:pPr>
        <w:pStyle w:val="ListBullet"/>
        <w:spacing w:after="60"/>
      </w:pPr>
      <w:r>
        <w:t>Controllo di adapter_config.json prima del merge.</w:t>
      </w:r>
    </w:p>
    <w:p>
      <w:pPr>
        <w:pStyle w:val="ListBullet"/>
        <w:spacing w:after="60"/>
      </w:pPr>
      <w:r>
        <w:t>Protezione dalla sovrascrittura di una directory merged già popolata.</w:t>
      </w:r>
    </w:p>
    <w:p>
      <w:pPr>
        <w:pStyle w:val="ListBullet"/>
        <w:spacing w:after="60"/>
      </w:pPr>
      <w:r>
        <w:t>safe_merge=True durante l’incorporazione LoRA.</w:t>
      </w:r>
    </w:p>
    <w:p>
      <w:pPr>
        <w:pStyle w:val="ListBullet"/>
        <w:spacing w:after="60"/>
      </w:pPr>
      <w:r>
        <w:t>Salvataggio in Safetensors.</w:t>
      </w:r>
    </w:p>
    <w:p>
      <w:pPr>
        <w:pStyle w:val="ListBullet"/>
        <w:spacing w:after="60"/>
      </w:pPr>
      <w:r>
        <w:t>Controllo finale di config.json e dei file .safetensors.</w:t>
      </w:r>
    </w:p>
    <w:p>
      <w:pPr>
        <w:pStyle w:val="Heading1"/>
        <w:keepNext/>
      </w:pPr>
      <w:r>
        <w:t>9. Cosa lo script non fa</w:t>
      </w:r>
    </w:p>
    <w:p>
      <w:r>
        <w:t>È utile delimitare chiaramente le responsabilità del punto G. merge_lora.py non:</w:t>
      </w:r>
    </w:p>
    <w:p>
      <w:pPr>
        <w:pStyle w:val="ListBullet"/>
        <w:spacing w:after="60"/>
      </w:pPr>
      <w:r>
        <w:t>esegue il fine-tuning;</w:t>
      </w:r>
    </w:p>
    <w:p>
      <w:pPr>
        <w:pStyle w:val="ListBullet"/>
        <w:spacing w:after="60"/>
      </w:pPr>
      <w:r>
        <w:t>legge train_sft.jsonl, validation_sft.jsonl o test_sft.jsonl;</w:t>
      </w:r>
    </w:p>
    <w:p>
      <w:pPr>
        <w:pStyle w:val="ListBullet"/>
        <w:spacing w:after="60"/>
      </w:pPr>
      <w:r>
        <w:t>calcola training loss o validation loss;</w:t>
      </w:r>
    </w:p>
    <w:p>
      <w:pPr>
        <w:pStyle w:val="ListBullet"/>
        <w:spacing w:after="60"/>
      </w:pPr>
      <w:r>
        <w:t>valuta la qualità del modello sul test set;</w:t>
      </w:r>
    </w:p>
    <w:p>
      <w:pPr>
        <w:pStyle w:val="ListBullet"/>
        <w:spacing w:after="60"/>
      </w:pPr>
      <w:r>
        <w:t>converte il modello in GGUF;</w:t>
      </w:r>
    </w:p>
    <w:p>
      <w:pPr>
        <w:pStyle w:val="ListBullet"/>
        <w:spacing w:after="60"/>
      </w:pPr>
      <w:r>
        <w:t>quantizza il modello;</w:t>
      </w:r>
    </w:p>
    <w:p>
      <w:pPr>
        <w:pStyle w:val="ListBullet"/>
        <w:spacing w:after="60"/>
      </w:pPr>
      <w:r>
        <w:t>esegue il deployment Android.</w:t>
      </w:r>
    </w:p>
    <w:p>
      <w:r>
        <w:t>Queste responsabilità restano separate rispettivamente tra training, valutazione, conversione e deployment. Questa separazione rende il repository più leggibile e consente di ripetere ogni fase in modo indipendente.</w:t>
      </w:r>
    </w:p>
    <w:p>
      <w:pPr>
        <w:pStyle w:val="Heading1"/>
        <w:keepNext/>
      </w:pPr>
      <w:r>
        <w:t>10. Risultato atteso</w:t>
      </w:r>
    </w:p>
    <w:p>
      <w:r>
        <w:t>Se il comando termina senza eccezioni, il punto G produce un modello LFM2-700M fine-tuned completo per il dataset selezionato. L’adapter originale non viene eliminato: rimane nella propria directory, mentre il merged viene salvato in una nuova cartella.</w:t>
      </w:r>
    </w:p>
    <w:p>
      <w:pPr>
        <w:spacing w:before="80" w:after="140"/>
        <w:ind w:left="259" w:right="259"/>
        <w:shd w:fill="F3F4F6"/>
      </w:pPr>
      <w:r>
        <w:rPr>
          <w:rFonts w:ascii="Consolas" w:hAnsi="Consolas"/>
          <w:sz w:val="18"/>
        </w:rPr>
        <w:t>models/</w:t>
        <w:br/>
        <w:t>├── lfm2_700m_gptplus_lora/</w:t>
        <w:br/>
        <w:t>│   └── final_adapter/</w:t>
        <w:br/>
        <w:t>├── lfm2_700m_gptplus_merged/</w:t>
        <w:br/>
        <w:t>├── lfm2_700m_claude_lora/</w:t>
        <w:br/>
        <w:t>│   └── final_adapter/</w:t>
        <w:br/>
        <w:t>└── lfm2_700m_claude_merged/</w:t>
      </w:r>
    </w:p>
    <w:p>
      <w:r>
        <w:t>Il checkpoint merged rappresenta quindi il punto di passaggio tra il fine-tuning LoRA e la fase di valutazione/preparazione Edge.</w:t>
      </w:r>
    </w:p>
    <w:p>
      <w:pPr>
        <w:pStyle w:val="Heading1"/>
        <w:keepNext/>
      </w:pPr>
      <w:r>
        <w:t>Appendice A - Mappa script -&gt; pipeline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D3"/>
          </w:tcPr>
          <w:p>
            <w:r>
              <w:rPr>
                <w:b/>
              </w:rPr>
              <w:t>Fase</w:t>
            </w:r>
          </w:p>
        </w:tc>
        <w:tc>
          <w:tcPr>
            <w:tcW w:type="dxa" w:w="2484"/>
            <w:shd w:fill="D9EAD3"/>
          </w:tcPr>
          <w:p>
            <w:r>
              <w:rPr>
                <w:b/>
              </w:rPr>
              <w:t>Script/strumento</w:t>
            </w:r>
          </w:p>
        </w:tc>
        <w:tc>
          <w:tcPr>
            <w:tcW w:type="dxa" w:w="2484"/>
            <w:shd w:fill="D9EAD3"/>
          </w:tcPr>
          <w:p>
            <w:r>
              <w:rPr>
                <w:b/>
              </w:rPr>
              <w:t>Input principale</w:t>
            </w:r>
          </w:p>
        </w:tc>
        <w:tc>
          <w:tcPr>
            <w:tcW w:type="dxa" w:w="2484"/>
            <w:shd w:fill="D9EAD3"/>
          </w:tcPr>
          <w:p>
            <w:r>
              <w:rPr>
                <w:b/>
              </w:rPr>
              <w:t>Output principale</w:t>
            </w:r>
          </w:p>
        </w:tc>
      </w:tr>
      <w:tr>
        <w:tc>
          <w:tcPr>
            <w:tcW w:type="dxa" w:w="2484"/>
          </w:tcPr>
          <w:p>
            <w:r>
              <w:rPr>
                <w:sz w:val="17"/>
              </w:rPr>
              <w:t>E-F</w:t>
            </w:r>
          </w:p>
        </w:tc>
        <w:tc>
          <w:tcPr>
            <w:tcW w:type="dxa" w:w="2484"/>
          </w:tcPr>
          <w:p>
            <w:r>
              <w:rPr>
                <w:sz w:val="17"/>
              </w:rPr>
              <w:t>training/train_lora.py</w:t>
            </w:r>
          </w:p>
        </w:tc>
        <w:tc>
          <w:tcPr>
            <w:tcW w:type="dxa" w:w="2484"/>
          </w:tcPr>
          <w:p>
            <w:r>
              <w:rPr>
                <w:sz w:val="17"/>
              </w:rPr>
              <w:t>train + validation</w:t>
            </w:r>
          </w:p>
        </w:tc>
        <w:tc>
          <w:tcPr>
            <w:tcW w:type="dxa" w:w="2484"/>
          </w:tcPr>
          <w:p>
            <w:r>
              <w:rPr>
                <w:sz w:val="17"/>
              </w:rPr>
              <w:t>final_adapter + checkpoint</w:t>
            </w:r>
          </w:p>
        </w:tc>
      </w:tr>
      <w:tr>
        <w:tc>
          <w:tcPr>
            <w:tcW w:type="dxa" w:w="2484"/>
          </w:tcPr>
          <w:p>
            <w:r>
              <w:rPr>
                <w:sz w:val="17"/>
              </w:rPr>
              <w:t>G</w:t>
            </w:r>
          </w:p>
        </w:tc>
        <w:tc>
          <w:tcPr>
            <w:tcW w:type="dxa" w:w="2484"/>
          </w:tcPr>
          <w:p>
            <w:r>
              <w:rPr>
                <w:sz w:val="17"/>
              </w:rPr>
              <w:t>post_training/merge_lora.py</w:t>
            </w:r>
          </w:p>
        </w:tc>
        <w:tc>
          <w:tcPr>
            <w:tcW w:type="dxa" w:w="2484"/>
          </w:tcPr>
          <w:p>
            <w:r>
              <w:rPr>
                <w:sz w:val="17"/>
              </w:rPr>
              <w:t>base model + final_adapter</w:t>
            </w:r>
          </w:p>
        </w:tc>
        <w:tc>
          <w:tcPr>
            <w:tcW w:type="dxa" w:w="2484"/>
          </w:tcPr>
          <w:p>
            <w:r>
              <w:rPr>
                <w:sz w:val="17"/>
              </w:rPr>
              <w:t>modello HF merged</w:t>
            </w:r>
          </w:p>
        </w:tc>
      </w:tr>
      <w:tr>
        <w:tc>
          <w:tcPr>
            <w:tcW w:type="dxa" w:w="2484"/>
          </w:tcPr>
          <w:p>
            <w:r>
              <w:rPr>
                <w:sz w:val="17"/>
              </w:rPr>
              <w:t>H</w:t>
            </w:r>
          </w:p>
        </w:tc>
        <w:tc>
          <w:tcPr>
            <w:tcW w:type="dxa" w:w="2484"/>
          </w:tcPr>
          <w:p>
            <w:r>
              <w:rPr>
                <w:sz w:val="17"/>
              </w:rPr>
              <w:t>evaluation/evaluate_model.py</w:t>
            </w:r>
          </w:p>
        </w:tc>
        <w:tc>
          <w:tcPr>
            <w:tcW w:type="dxa" w:w="2484"/>
          </w:tcPr>
          <w:p>
            <w:r>
              <w:rPr>
                <w:sz w:val="17"/>
              </w:rPr>
              <w:t>base + merged + test</w:t>
            </w:r>
          </w:p>
        </w:tc>
        <w:tc>
          <w:tcPr>
            <w:tcW w:type="dxa" w:w="2484"/>
          </w:tcPr>
          <w:p>
            <w:r>
              <w:rPr>
                <w:sz w:val="17"/>
              </w:rPr>
              <w:t>metriche e confronto</w:t>
            </w:r>
          </w:p>
        </w:tc>
      </w:tr>
      <w:tr>
        <w:tc>
          <w:tcPr>
            <w:tcW w:type="dxa" w:w="2484"/>
          </w:tcPr>
          <w:p>
            <w:r>
              <w:rPr>
                <w:sz w:val="17"/>
              </w:rPr>
              <w:t>I</w:t>
            </w:r>
          </w:p>
        </w:tc>
        <w:tc>
          <w:tcPr>
            <w:tcW w:type="dxa" w:w="2484"/>
          </w:tcPr>
          <w:p>
            <w:r>
              <w:rPr>
                <w:sz w:val="17"/>
              </w:rPr>
              <w:t>conversione GGUF</w:t>
            </w:r>
          </w:p>
        </w:tc>
        <w:tc>
          <w:tcPr>
            <w:tcW w:type="dxa" w:w="2484"/>
          </w:tcPr>
          <w:p>
            <w:r>
              <w:rPr>
                <w:sz w:val="17"/>
              </w:rPr>
              <w:t>modello HF merged</w:t>
            </w:r>
          </w:p>
        </w:tc>
        <w:tc>
          <w:tcPr>
            <w:tcW w:type="dxa" w:w="2484"/>
          </w:tcPr>
          <w:p>
            <w:r>
              <w:rPr>
                <w:sz w:val="17"/>
              </w:rPr>
              <w:t>GGUF alta precisione</w:t>
            </w:r>
          </w:p>
        </w:tc>
      </w:tr>
      <w:tr>
        <w:tc>
          <w:tcPr>
            <w:tcW w:type="dxa" w:w="2484"/>
          </w:tcPr>
          <w:p>
            <w:r>
              <w:rPr>
                <w:sz w:val="17"/>
              </w:rPr>
              <w:t>J</w:t>
            </w:r>
          </w:p>
        </w:tc>
        <w:tc>
          <w:tcPr>
            <w:tcW w:type="dxa" w:w="2484"/>
          </w:tcPr>
          <w:p>
            <w:r>
              <w:rPr>
                <w:sz w:val="17"/>
              </w:rPr>
              <w:t>quantizzazione GGUF</w:t>
            </w:r>
          </w:p>
        </w:tc>
        <w:tc>
          <w:tcPr>
            <w:tcW w:type="dxa" w:w="2484"/>
          </w:tcPr>
          <w:p>
            <w:r>
              <w:rPr>
                <w:sz w:val="17"/>
              </w:rPr>
              <w:t>GGUF alta precisione</w:t>
            </w:r>
          </w:p>
        </w:tc>
        <w:tc>
          <w:tcPr>
            <w:tcW w:type="dxa" w:w="2484"/>
          </w:tcPr>
          <w:p>
            <w:r>
              <w:rPr>
                <w:sz w:val="17"/>
              </w:rPr>
              <w:t>GGUF quantizzato</w:t>
            </w:r>
          </w:p>
        </w:tc>
      </w:tr>
    </w:tbl>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7"/>
      </w:rPr>
      <w:t>Documentazione tecnica dello script merge_lora.py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7"/>
      </w:rPr>
      <w:t>Edge AI for Smart Bank Transfers  |  Punto G - Merge LoRA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59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54823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7F6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F559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Punto G - Merge LoRA: report tecnico dello script merge_lora.py</dc:title>
  <dc:subject>Edge AI for Smart Bank Transfers</dc:subject>
  <dc:creator>python-docx</dc:creator>
  <cp:keywords>LoRA, PEFT, merge, LFM2-700M, Hugging Face, Safetensors, EC2</cp:keywords>
  <dc:description>generated by python-docx</dc:description>
  <cp:lastModifiedBy/>
  <cp:revision>1</cp:revision>
  <dcterms:created xsi:type="dcterms:W3CDTF">2013-12-23T23:15:00Z</dcterms:created>
  <dcterms:modified xsi:type="dcterms:W3CDTF">2013-12-23T23:15:00Z</dcterms:modified>
  <cp:category/>
</cp:coreProperties>
</file>