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Verifica near-duplicate nel dataset Claude</w:t>
      </w:r>
    </w:p>
    <w:p>
      <w:pPr>
        <w:jc w:val="center"/>
      </w:pPr>
      <w:r>
        <w:rPr>
          <w:i/>
          <w:sz w:val="20"/>
        </w:rPr>
        <w:t>Edge AI for Smart Bank Transfers – Nota di validazione dataset</w:t>
      </w:r>
    </w:p>
    <w:p>
      <w:r>
        <w:rPr>
          <w:b/>
        </w:rPr>
        <w:t xml:space="preserve">Contesto. </w:t>
      </w:r>
      <w:r>
        <w:t>Durante l’esecuzione dello script validate_clean_dataset.py sul dataset generato con Claude è stata segnalata una sola anomalia di possibile duplicazione, relativa ai record EX3077 ed EX3484, entrambi appartenenti all’attività COMPLETION e alla categoria GAS.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0"/>
        <w:gridCol w:w="3280"/>
        <w:gridCol w:w="3280"/>
      </w:tblGrid>
      <w:tr>
        <w:tc>
          <w:tcPr>
            <w:tcW w:type="dxa" w:w="3280"/>
          </w:tcPr>
          <w:p>
            <w:r>
              <w:rPr>
                <w:sz w:val="18"/>
              </w:rPr>
              <w:t>Campo</w:t>
            </w:r>
          </w:p>
        </w:tc>
        <w:tc>
          <w:tcPr>
            <w:tcW w:type="dxa" w:w="3280"/>
          </w:tcPr>
          <w:p>
            <w:r>
              <w:rPr>
                <w:sz w:val="18"/>
              </w:rPr>
              <w:t>EX3077</w:t>
            </w:r>
          </w:p>
        </w:tc>
        <w:tc>
          <w:tcPr>
            <w:tcW w:type="dxa" w:w="3280"/>
          </w:tcPr>
          <w:p>
            <w:r>
              <w:rPr>
                <w:sz w:val="18"/>
              </w:rPr>
              <w:t>EX3484</w:t>
            </w:r>
          </w:p>
        </w:tc>
      </w:tr>
      <w:tr>
        <w:tc>
          <w:tcPr>
            <w:tcW w:type="dxa" w:w="3280"/>
          </w:tcPr>
          <w:p>
            <w:r>
              <w:rPr>
                <w:sz w:val="18"/>
              </w:rPr>
              <w:t>Beneficiary</w:t>
            </w:r>
          </w:p>
        </w:tc>
        <w:tc>
          <w:tcPr>
            <w:tcW w:type="dxa" w:w="3280"/>
          </w:tcPr>
          <w:p>
            <w:r>
              <w:rPr>
                <w:sz w:val="18"/>
              </w:rPr>
              <w:t>Glenmoor Network Services</w:t>
            </w:r>
          </w:p>
        </w:tc>
        <w:tc>
          <w:tcPr>
            <w:tcW w:type="dxa" w:w="3280"/>
          </w:tcPr>
          <w:p>
            <w:r>
              <w:rPr>
                <w:sz w:val="18"/>
              </w:rPr>
              <w:t>Southport Network Services</w:t>
            </w:r>
          </w:p>
        </w:tc>
      </w:tr>
      <w:tr>
        <w:tc>
          <w:tcPr>
            <w:tcW w:type="dxa" w:w="3280"/>
          </w:tcPr>
          <w:p>
            <w:r>
              <w:rPr>
                <w:sz w:val="18"/>
              </w:rPr>
              <w:t>Amount</w:t>
            </w:r>
          </w:p>
        </w:tc>
        <w:tc>
          <w:tcPr>
            <w:tcW w:type="dxa" w:w="3280"/>
          </w:tcPr>
          <w:p>
            <w:r>
              <w:rPr>
                <w:sz w:val="18"/>
              </w:rPr>
              <w:t>95.0 EUR</w:t>
            </w:r>
          </w:p>
        </w:tc>
        <w:tc>
          <w:tcPr>
            <w:tcW w:type="dxa" w:w="3280"/>
          </w:tcPr>
          <w:p>
            <w:r>
              <w:rPr>
                <w:sz w:val="18"/>
              </w:rPr>
              <w:t>29.7 EUR</w:t>
            </w:r>
          </w:p>
        </w:tc>
      </w:tr>
      <w:tr>
        <w:tc>
          <w:tcPr>
            <w:tcW w:type="dxa" w:w="3280"/>
          </w:tcPr>
          <w:p>
            <w:r>
              <w:rPr>
                <w:sz w:val="18"/>
              </w:rPr>
              <w:t>Reference period</w:t>
            </w:r>
          </w:p>
        </w:tc>
        <w:tc>
          <w:tcPr>
            <w:tcW w:type="dxa" w:w="3280"/>
          </w:tcPr>
          <w:p>
            <w:r>
              <w:rPr>
                <w:sz w:val="18"/>
              </w:rPr>
              <w:t>May 2026</w:t>
            </w:r>
          </w:p>
        </w:tc>
        <w:tc>
          <w:tcPr>
            <w:tcW w:type="dxa" w:w="3280"/>
          </w:tcPr>
          <w:p>
            <w:r>
              <w:rPr>
                <w:sz w:val="18"/>
              </w:rPr>
              <w:t>April 2026</w:t>
            </w:r>
          </w:p>
        </w:tc>
      </w:tr>
      <w:tr>
        <w:tc>
          <w:tcPr>
            <w:tcW w:type="dxa" w:w="3280"/>
          </w:tcPr>
          <w:p>
            <w:r>
              <w:rPr>
                <w:sz w:val="18"/>
              </w:rPr>
              <w:t>Input text</w:t>
            </w:r>
          </w:p>
        </w:tc>
        <w:tc>
          <w:tcPr>
            <w:tcW w:type="dxa" w:w="3280"/>
          </w:tcPr>
          <w:p>
            <w:r>
              <w:rPr>
                <w:sz w:val="18"/>
              </w:rPr>
              <w:t>Heat gas for 2026</w:t>
            </w:r>
          </w:p>
        </w:tc>
        <w:tc>
          <w:tcPr>
            <w:tcW w:type="dxa" w:w="3280"/>
          </w:tcPr>
          <w:p>
            <w:r>
              <w:rPr>
                <w:sz w:val="18"/>
              </w:rPr>
              <w:t>Heat gas bill for 2026</w:t>
            </w:r>
          </w:p>
        </w:tc>
      </w:tr>
    </w:tbl>
    <w:p>
      <w:r>
        <w:rPr>
          <w:b/>
        </w:rPr>
        <w:t xml:space="preserve">Valutazione. </w:t>
      </w:r>
      <w:r>
        <w:t>I due record non sono duplicati identici. Cambiano beneficiario, importo, periodo di riferimento, input_text e parte della formulazione degli expected_output. La segnalazione deriva verosimilmente dalla forte somiglianza dello schema linguistico (“Heat gas…” / “Heating gas bill…”), che è comunque plausibile per esempi appartenenti alla stessa categoria semantica.</w:t>
      </w:r>
    </w:p>
    <w:p>
      <w:r>
        <w:rPr>
          <w:b/>
        </w:rPr>
        <w:t xml:space="preserve">Decisione. </w:t>
      </w:r>
      <w:r>
        <w:t>La coppia viene mantenuta senza modifiche. Una singola near-duplicate su 5.000 record non è considerata critica e non indica una ridondanza sistematica del dataset. La presenza di alcune formulazioni simili nella stessa categoria è inoltre naturale e può contribuire a rappresentare varianti realistiche dello stesso tipo di causale.</w:t>
      </w:r>
    </w:p>
    <w:p>
      <w:r>
        <w:rPr>
          <w:b/>
        </w:rPr>
        <w:t xml:space="preserve">Conclusione. </w:t>
      </w:r>
      <w:r>
        <w:t>Il dataset Claude può quindi essere considerato valido sotto questo aspetto e può proseguire nella pipeline di split e preprocessing SFT, annotando nel report di validazione che è stata rilevata una sola near-duplicate strutturale non ritenuta problematica.</w:t>
      </w:r>
    </w:p>
    <w:sectPr w:rsidR="00FC693F" w:rsidRPr="0006063C" w:rsidSect="00034616">
      <w:footerReference w:type="default" r:id="rId9"/>
      <w:pgSz w:w="12240" w:h="15840"/>
      <w:pgMar w:top="1080" w:right="1200" w:bottom="108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Dataset Claude – validazione near-duplicates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