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481DD6">
          <w:pPr>
            <w:pStyle w:val="af5"/>
          </w:pPr>
          <w:r>
            <w:t>Оглавление</w:t>
          </w:r>
        </w:p>
        <w:p w:rsidR="0050456C" w:rsidRDefault="007F2659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EF73BC">
            <w:fldChar w:fldCharType="begin"/>
          </w:r>
          <w:r>
            <w:instrText xml:space="preserve"> TOC \o "1-3" \h \z \u </w:instrText>
          </w:r>
          <w:r w:rsidRPr="00EF73BC">
            <w:fldChar w:fldCharType="separate"/>
          </w:r>
          <w:hyperlink w:anchor="_Toc441840474" w:history="1">
            <w:r w:rsidR="0050456C" w:rsidRPr="00457170">
              <w:rPr>
                <w:rStyle w:val="aff5"/>
                <w:noProof/>
              </w:rPr>
              <w:t>Введение</w:t>
            </w:r>
            <w:r w:rsidR="0050456C">
              <w:rPr>
                <w:noProof/>
                <w:webHidden/>
              </w:rPr>
              <w:tab/>
            </w:r>
            <w:r w:rsidR="0050456C">
              <w:rPr>
                <w:noProof/>
                <w:webHidden/>
              </w:rPr>
              <w:fldChar w:fldCharType="begin"/>
            </w:r>
            <w:r w:rsidR="0050456C">
              <w:rPr>
                <w:noProof/>
                <w:webHidden/>
              </w:rPr>
              <w:instrText xml:space="preserve"> PAGEREF _Toc441840474 \h </w:instrText>
            </w:r>
            <w:r w:rsidR="0050456C">
              <w:rPr>
                <w:noProof/>
                <w:webHidden/>
              </w:rPr>
            </w:r>
            <w:r w:rsidR="0050456C">
              <w:rPr>
                <w:noProof/>
                <w:webHidden/>
              </w:rPr>
              <w:fldChar w:fldCharType="separate"/>
            </w:r>
            <w:r w:rsidR="0050456C">
              <w:rPr>
                <w:noProof/>
                <w:webHidden/>
              </w:rPr>
              <w:t>4</w:t>
            </w:r>
            <w:r w:rsidR="0050456C">
              <w:rPr>
                <w:noProof/>
                <w:webHidden/>
              </w:rPr>
              <w:fldChar w:fldCharType="end"/>
            </w:r>
          </w:hyperlink>
        </w:p>
        <w:p w:rsidR="0050456C" w:rsidRDefault="0050456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0475" w:history="1">
            <w:r w:rsidRPr="00457170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6C" w:rsidRDefault="0050456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0476" w:history="1">
            <w:r w:rsidRPr="00457170">
              <w:rPr>
                <w:rStyle w:val="aff5"/>
                <w:noProof/>
              </w:rPr>
              <w:t>1.1. Оформление основного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6C" w:rsidRDefault="0050456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0477" w:history="1">
            <w:r w:rsidRPr="00457170">
              <w:rPr>
                <w:rStyle w:val="aff5"/>
                <w:noProof/>
              </w:rPr>
              <w:t>1.2. Оформление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6C" w:rsidRDefault="0050456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0478" w:history="1">
            <w:r w:rsidRPr="00457170">
              <w:rPr>
                <w:rStyle w:val="aff5"/>
                <w:noProof/>
              </w:rPr>
              <w:t>1.3. Оформление списков (маркированных/нумерованных)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6C" w:rsidRDefault="0050456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0479" w:history="1">
            <w:r w:rsidRPr="00457170">
              <w:rPr>
                <w:rStyle w:val="aff5"/>
                <w:noProof/>
              </w:rPr>
              <w:t>1.4. Дополнительные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6C" w:rsidRDefault="0050456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0480" w:history="1">
            <w:r w:rsidRPr="00457170">
              <w:rPr>
                <w:rStyle w:val="aff5"/>
                <w:noProof/>
              </w:rPr>
              <w:t>2. Разъяснения по практическим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6C" w:rsidRDefault="0050456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0481" w:history="1">
            <w:r w:rsidRPr="00457170">
              <w:rPr>
                <w:rStyle w:val="aff5"/>
                <w:noProof/>
              </w:rPr>
              <w:t>2.1. Сбор сведений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6C" w:rsidRDefault="0050456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1840482" w:history="1">
            <w:r w:rsidRPr="00457170">
              <w:rPr>
                <w:rStyle w:val="aff5"/>
                <w:noProof/>
              </w:rPr>
              <w:t>2.2. Мониторинг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_Toc441840482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7F2659">
          <w:r>
            <w:fldChar w:fldCharType="end"/>
          </w:r>
        </w:p>
      </w:sdtContent>
    </w:sdt>
    <w:p w:rsidR="007F2659" w:rsidRDefault="007F2659" w:rsidP="001239EA">
      <w:pPr>
        <w:pStyle w:val="1"/>
        <w:numPr>
          <w:ilvl w:val="0"/>
          <w:numId w:val="0"/>
        </w:numPr>
      </w:pPr>
      <w:bookmarkStart w:id="0" w:name="_Toc441840474"/>
      <w:r>
        <w:lastRenderedPageBreak/>
        <w:t>Введение</w:t>
      </w:r>
      <w:bookmarkEnd w:id="0"/>
    </w:p>
    <w:p w:rsidR="00AA33BD" w:rsidRDefault="008F7C7E"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</w:p>
    <w:p w:rsidR="008F7C7E" w:rsidRDefault="008F7C7E">
      <w:pPr>
        <w:rPr>
          <w:lang w:val="en-US"/>
        </w:rPr>
      </w:pPr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1840475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А4,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1840476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1840477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(ненумерованные)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(перед,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1840478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 «–».</w:t>
      </w:r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 xml:space="preserve"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«:»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1840479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«(см.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7064BE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7064BE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7064BE">
        <w:tc>
          <w:tcPr>
            <w:tcW w:w="9571" w:type="dxa"/>
          </w:tcPr>
          <w:p w:rsidR="00B53389" w:rsidRDefault="00B53389" w:rsidP="007064BE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«(см.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Поле 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1-6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2-6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3-6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4-6</w:t>
            </w:r>
          </w:p>
        </w:tc>
      </w:tr>
      <w:tr w:rsidR="00B53389" w:rsidTr="007064BE"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7064BE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контент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7064BE">
        <w:tc>
          <w:tcPr>
            <w:tcW w:w="6408" w:type="dxa"/>
          </w:tcPr>
          <w:p w:rsidR="00B53389" w:rsidRPr="00A413A6" w:rsidRDefault="00B53389" w:rsidP="007064BE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7064BE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t xml:space="preserve"> )</w:t>
            </w:r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7064BE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7064BE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7064BE">
        <w:tc>
          <w:tcPr>
            <w:tcW w:w="9570" w:type="dxa"/>
          </w:tcPr>
          <w:p w:rsidR="00B53389" w:rsidRDefault="00B53389" w:rsidP="007064BE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1840480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1840481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 w:rsidRPr="00D6345F"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 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(см. рис. 2).</w:t>
      </w:r>
    </w:p>
    <w:p w:rsidR="00ED276A" w:rsidRPr="00D6345F" w:rsidRDefault="00D6345F" w:rsidP="00F43C86">
      <w:r>
        <w:t xml:space="preserve">В </w:t>
      </w:r>
      <w:r>
        <w:rPr>
          <w:lang w:val="en-US"/>
        </w:rPr>
        <w:t xml:space="preserve">Lubuntu Linux </w:t>
      </w:r>
      <w:r>
        <w:t>имеется инструмент «</w:t>
      </w:r>
      <w:r w:rsidRPr="00D6345F">
        <w:t>system profiler and benchmark</w:t>
      </w:r>
      <w:r>
        <w:t xml:space="preserve">». Он выдает гораздо более полные данные о системе (см.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A327F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A327F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3</w:t>
              </w:r>
            </w:fldSimple>
            <w:r>
              <w:t xml:space="preserve">. </w:t>
            </w:r>
            <w:r w:rsidRPr="00D6345F">
              <w:t>system profiler and benchmark</w:t>
            </w:r>
          </w:p>
        </w:tc>
      </w:tr>
      <w:tr w:rsidR="00D6345F" w:rsidTr="00A327FF">
        <w:tc>
          <w:tcPr>
            <w:tcW w:w="9571" w:type="dxa"/>
          </w:tcPr>
          <w:p w:rsidR="00D6345F" w:rsidRDefault="00D6345F" w:rsidP="00A327F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A327FF">
        <w:tc>
          <w:tcPr>
            <w:tcW w:w="9571" w:type="dxa"/>
          </w:tcPr>
          <w:p w:rsidR="00D6345F" w:rsidRPr="00D6345F" w:rsidRDefault="00D6345F" w:rsidP="00A327F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 xml:space="preserve">Android </w:t>
      </w:r>
      <w:r>
        <w:t>есть инструмент «Настройка» – «О телефоне»</w:t>
      </w:r>
      <w:r w:rsidR="00790D23">
        <w:t>, но не во всех версиях отображются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50456C">
      <w:pPr>
        <w:pStyle w:val="2"/>
      </w:pPr>
      <w:bookmarkStart w:id="11" w:name="_Toc441840482"/>
      <w:r>
        <w:t>Мониторинг ресурсов</w:t>
      </w:r>
      <w:bookmarkEnd w:id="11"/>
    </w:p>
    <w:p w:rsidR="00790D23" w:rsidRDefault="00790D23" w:rsidP="00790D23"/>
    <w:sectPr w:rsidR="00790D23" w:rsidSect="00C25962">
      <w:footerReference w:type="default" r:id="rId11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1FE" w:rsidRDefault="00D911FE" w:rsidP="00C25962">
      <w:pPr>
        <w:spacing w:line="240" w:lineRule="auto"/>
      </w:pPr>
      <w:r>
        <w:separator/>
      </w:r>
    </w:p>
  </w:endnote>
  <w:endnote w:type="continuationSeparator" w:id="0">
    <w:p w:rsidR="00D911FE" w:rsidRDefault="00D911FE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62" w:rsidRDefault="00C25962" w:rsidP="00151C11">
    <w:pPr>
      <w:pStyle w:val="af5"/>
    </w:pPr>
    <w:fldSimple w:instr=" PAGE   \* MERGEFORMAT ">
      <w:r w:rsidR="0050456C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1FE" w:rsidRDefault="00D911FE" w:rsidP="00C25962">
      <w:pPr>
        <w:spacing w:line="240" w:lineRule="auto"/>
      </w:pPr>
      <w:r>
        <w:separator/>
      </w:r>
    </w:p>
  </w:footnote>
  <w:footnote w:type="continuationSeparator" w:id="0">
    <w:p w:rsidR="00D911FE" w:rsidRDefault="00D911FE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97AF1"/>
    <w:rsid w:val="000B473A"/>
    <w:rsid w:val="00212B1F"/>
    <w:rsid w:val="002529A5"/>
    <w:rsid w:val="00301870"/>
    <w:rsid w:val="00370263"/>
    <w:rsid w:val="004071D3"/>
    <w:rsid w:val="0042317C"/>
    <w:rsid w:val="004402F5"/>
    <w:rsid w:val="0050456C"/>
    <w:rsid w:val="00556B01"/>
    <w:rsid w:val="005751C2"/>
    <w:rsid w:val="00691C1C"/>
    <w:rsid w:val="007416F1"/>
    <w:rsid w:val="00790D23"/>
    <w:rsid w:val="007F2659"/>
    <w:rsid w:val="008F7C7E"/>
    <w:rsid w:val="00910EAF"/>
    <w:rsid w:val="00935E89"/>
    <w:rsid w:val="009B6B98"/>
    <w:rsid w:val="009E5727"/>
    <w:rsid w:val="00AA33BD"/>
    <w:rsid w:val="00AB1AA2"/>
    <w:rsid w:val="00B53389"/>
    <w:rsid w:val="00B80146"/>
    <w:rsid w:val="00C25962"/>
    <w:rsid w:val="00D6345F"/>
    <w:rsid w:val="00D770E2"/>
    <w:rsid w:val="00D911FE"/>
    <w:rsid w:val="00D96C6E"/>
    <w:rsid w:val="00DB686D"/>
    <w:rsid w:val="00DC6841"/>
    <w:rsid w:val="00DE0FF1"/>
    <w:rsid w:val="00DF0FFD"/>
    <w:rsid w:val="00DF6971"/>
    <w:rsid w:val="00E036C8"/>
    <w:rsid w:val="00E271D4"/>
    <w:rsid w:val="00EA45CA"/>
    <w:rsid w:val="00ED276A"/>
    <w:rsid w:val="00ED2F90"/>
    <w:rsid w:val="00F43C86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6</cp:revision>
  <dcterms:created xsi:type="dcterms:W3CDTF">2016-01-29T10:08:00Z</dcterms:created>
  <dcterms:modified xsi:type="dcterms:W3CDTF">2016-01-29T11:19:00Z</dcterms:modified>
</cp:coreProperties>
</file>