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2"/>
          <w:szCs w:val="32"/>
        </w:rPr>
        <w:t xml:space="preserve">ЗАЯВКА НА БЕТОН И РАСТВОР</w:t>
      </w:r>
    </w:p>
    <w:p>
      <w:pPr>
        <w:spacing w:after="100"/>
      </w:pPr>
      <w:r>
        <w:rPr>
          <w:rFonts w:ascii="Arial" w:cs="Arial" w:eastAsia="Arial" w:hAnsi="Arial"/>
          <w:sz w:val="22"/>
          <w:szCs w:val="22"/>
        </w:rPr>
        <w:t xml:space="preserve">Форма предназначена для заказа бетона или раствора с указанием точного места укладки, марки материала и объёма в м³.</w:t>
      </w:r>
    </w:p>
    <w:p>
      <w:pPr>
        <w:spacing w:after="100"/>
      </w:pPr>
      <w:r>
        <w:t xml:space="preserve"/>
      </w:r>
    </w:p>
    <w:p>
      <w:pPr>
        <w:pStyle w:val="Heading2"/>
      </w:pPr>
      <w:r>
        <w:rPr>
          <w:rFonts w:ascii="Arial" w:cs="Arial" w:eastAsia="Arial" w:hAnsi="Arial"/>
          <w:b/>
          <w:bCs/>
          <w:color w:val="2E5596"/>
          <w:sz w:val="26"/>
          <w:szCs w:val="26"/>
        </w:rPr>
        <w:t xml:space="preserve">1. Назначение формы</w:t>
      </w:r>
    </w:p>
    <w:p>
      <w:pPr>
        <w:spacing w:after="100"/>
      </w:pPr>
      <w:r>
        <w:rPr>
          <w:rFonts w:ascii="Arial" w:cs="Arial" w:eastAsia="Arial" w:hAnsi="Arial"/>
          <w:sz w:val="22"/>
          <w:szCs w:val="22"/>
        </w:rPr>
        <w:t xml:space="preserve">Позволяет сформировать заявку на поставку бетона или раствора с детальным указанием местоположения (объект → позиция → блок → этаж → конструктив), марки и количества.</w:t>
      </w:r>
    </w:p>
    <w:p>
      <w:pPr>
        <w:spacing w:after="100"/>
      </w:pPr>
      <w:r>
        <w:t xml:space="preserve"/>
      </w:r>
    </w:p>
    <w:p>
      <w:pPr>
        <w:pStyle w:val="Heading2"/>
      </w:pPr>
      <w:r>
        <w:rPr>
          <w:rFonts w:ascii="Arial" w:cs="Arial" w:eastAsia="Arial" w:hAnsi="Arial"/>
          <w:b/>
          <w:bCs/>
          <w:color w:val="2E5596"/>
          <w:sz w:val="26"/>
          <w:szCs w:val="26"/>
        </w:rPr>
        <w:t xml:space="preserve">2. Пошаговое заполнение</w:t>
      </w:r>
    </w:p>
    <w:p>
      <w:pPr>
        <w:pStyle w:val="ListParagraph"/>
        <w:numPr>
          <w:ilvl w:val="0"/>
          <w:numId w:val="2"/>
        </w:numPr>
        <w:spacing w:after="80"/>
      </w:pPr>
      <w:r>
        <w:rPr>
          <w:rFonts w:ascii="Arial" w:cs="Arial" w:eastAsia="Arial" w:hAnsi="Arial"/>
          <w:sz w:val="22"/>
          <w:szCs w:val="22"/>
        </w:rPr>
        <w:t xml:space="preserve">Откройте страницу "Заявка на бетон или раствор" в системе.</w:t>
      </w:r>
    </w:p>
    <w:p>
      <w:pPr>
        <w:pStyle w:val="ListParagraph"/>
        <w:numPr>
          <w:ilvl w:val="0"/>
          <w:numId w:val="2"/>
        </w:numPr>
        <w:spacing w:after="80"/>
      </w:pPr>
      <w:r>
        <w:rPr>
          <w:rFonts w:ascii="Arial" w:cs="Arial" w:eastAsia="Arial" w:hAnsi="Arial"/>
          <w:sz w:val="22"/>
          <w:szCs w:val="22"/>
        </w:rPr>
        <w:t xml:space="preserve">Выберите ДАТУ поставки (от сегодня до +7 дней).</w:t>
      </w:r>
    </w:p>
    <w:p>
      <w:pPr>
        <w:pStyle w:val="ListParagraph"/>
        <w:numPr>
          <w:ilvl w:val="0"/>
          <w:numId w:val="2"/>
        </w:numPr>
        <w:spacing w:after="80"/>
      </w:pPr>
      <w:r>
        <w:rPr>
          <w:rFonts w:ascii="Arial" w:cs="Arial" w:eastAsia="Arial" w:hAnsi="Arial"/>
          <w:sz w:val="22"/>
          <w:szCs w:val="22"/>
        </w:rPr>
        <w:t xml:space="preserve">Выберите ВРЕМЯ поставки (0:00–23:00). Для сегодня — прошедшие часы недоступны.</w:t>
      </w:r>
    </w:p>
    <w:p>
      <w:pPr>
        <w:pStyle w:val="ListParagraph"/>
        <w:numPr>
          <w:ilvl w:val="0"/>
          <w:numId w:val="2"/>
        </w:numPr>
        <w:spacing w:after="80"/>
      </w:pPr>
      <w:r>
        <w:rPr>
          <w:rFonts w:ascii="Arial" w:cs="Arial" w:eastAsia="Arial" w:hAnsi="Arial"/>
          <w:sz w:val="22"/>
          <w:szCs w:val="22"/>
        </w:rPr>
        <w:t xml:space="preserve">Выберите КАТЕГОРИЮ объекта.</w:t>
      </w:r>
    </w:p>
    <w:p>
      <w:pPr>
        <w:pStyle w:val="ListParagraph"/>
        <w:numPr>
          <w:ilvl w:val="0"/>
          <w:numId w:val="2"/>
        </w:numPr>
        <w:spacing w:after="80"/>
      </w:pPr>
      <w:r>
        <w:rPr>
          <w:rFonts w:ascii="Arial" w:cs="Arial" w:eastAsia="Arial" w:hAnsi="Arial"/>
          <w:sz w:val="22"/>
          <w:szCs w:val="22"/>
        </w:rPr>
        <w:t xml:space="preserve">Выберите ОБЪЕКТ (зависит от категории).</w:t>
      </w:r>
    </w:p>
    <w:p>
      <w:pPr>
        <w:pStyle w:val="ListParagraph"/>
        <w:numPr>
          <w:ilvl w:val="0"/>
          <w:numId w:val="2"/>
        </w:numPr>
        <w:spacing w:after="80"/>
      </w:pPr>
      <w:r>
        <w:rPr>
          <w:rFonts w:ascii="Arial" w:cs="Arial" w:eastAsia="Arial" w:hAnsi="Arial"/>
          <w:sz w:val="22"/>
          <w:szCs w:val="22"/>
        </w:rPr>
        <w:t xml:space="preserve">Выберите ПОЗИЦИЮ (зависит от объекта).</w:t>
      </w:r>
    </w:p>
    <w:p>
      <w:pPr>
        <w:pStyle w:val="ListParagraph"/>
        <w:numPr>
          <w:ilvl w:val="0"/>
          <w:numId w:val="2"/>
        </w:numPr>
        <w:spacing w:after="80"/>
      </w:pPr>
      <w:r>
        <w:rPr>
          <w:rFonts w:ascii="Arial" w:cs="Arial" w:eastAsia="Arial" w:hAnsi="Arial"/>
          <w:sz w:val="22"/>
          <w:szCs w:val="22"/>
        </w:rPr>
        <w:t xml:space="preserve">Если позиция содержит блоки — выберите БЛОК, ЭТАЖ, КОНСТРУКТИВ.</w:t>
      </w:r>
    </w:p>
    <w:p>
      <w:pPr>
        <w:pStyle w:val="ListParagraph"/>
        <w:numPr>
          <w:ilvl w:val="0"/>
          <w:numId w:val="2"/>
        </w:numPr>
        <w:spacing w:after="80"/>
      </w:pPr>
      <w:r>
        <w:rPr>
          <w:rFonts w:ascii="Arial" w:cs="Arial" w:eastAsia="Arial" w:hAnsi="Arial"/>
          <w:sz w:val="22"/>
          <w:szCs w:val="22"/>
        </w:rPr>
        <w:t xml:space="preserve">Если блоков нет — выберите МАТЕРИАЛ (Бетон или Раствор). При "каменная кладка" — автоматически Раствор.</w:t>
      </w:r>
    </w:p>
    <w:p>
      <w:pPr>
        <w:pStyle w:val="ListParagraph"/>
        <w:numPr>
          <w:ilvl w:val="0"/>
          <w:numId w:val="2"/>
        </w:numPr>
        <w:spacing w:after="80"/>
      </w:pPr>
      <w:r>
        <w:rPr>
          <w:rFonts w:ascii="Arial" w:cs="Arial" w:eastAsia="Arial" w:hAnsi="Arial"/>
          <w:sz w:val="22"/>
          <w:szCs w:val="22"/>
        </w:rPr>
        <w:t xml:space="preserve">Выберите МАРКУ материала.</w:t>
      </w:r>
    </w:p>
    <w:p>
      <w:pPr>
        <w:pStyle w:val="ListParagraph"/>
        <w:numPr>
          <w:ilvl w:val="0"/>
          <w:numId w:val="2"/>
        </w:numPr>
        <w:spacing w:after="80"/>
      </w:pPr>
      <w:r>
        <w:rPr>
          <w:rFonts w:ascii="Arial" w:cs="Arial" w:eastAsia="Arial" w:hAnsi="Arial"/>
          <w:sz w:val="22"/>
          <w:szCs w:val="22"/>
        </w:rPr>
        <w:t xml:space="preserve">Для Бетона — укажите ПОДВИЖНОСТЬ (П3 или П4).</w:t>
      </w:r>
    </w:p>
    <w:p>
      <w:pPr>
        <w:pStyle w:val="ListParagraph"/>
        <w:numPr>
          <w:ilvl w:val="0"/>
          <w:numId w:val="2"/>
        </w:numPr>
        <w:spacing w:after="80"/>
      </w:pPr>
      <w:r>
        <w:rPr>
          <w:rFonts w:ascii="Arial" w:cs="Arial" w:eastAsia="Arial" w:hAnsi="Arial"/>
          <w:sz w:val="22"/>
          <w:szCs w:val="22"/>
        </w:rPr>
        <w:t xml:space="preserve">Введите КОЛИЧЕСТВО в м³ (целое или десятичное, разделитель — точка или запятая).</w:t>
      </w:r>
    </w:p>
    <w:p>
      <w:pPr>
        <w:pStyle w:val="ListParagraph"/>
        <w:numPr>
          <w:ilvl w:val="0"/>
          <w:numId w:val="2"/>
        </w:numPr>
        <w:spacing w:after="80"/>
      </w:pPr>
      <w:r>
        <w:rPr>
          <w:rFonts w:ascii="Arial" w:cs="Arial" w:eastAsia="Arial" w:hAnsi="Arial"/>
          <w:sz w:val="22"/>
          <w:szCs w:val="22"/>
        </w:rPr>
        <w:t xml:space="preserve">При необходимости заполните ПРИМЕЧАНИЕ.</w:t>
      </w:r>
    </w:p>
    <w:p>
      <w:pPr>
        <w:pStyle w:val="ListParagraph"/>
        <w:numPr>
          <w:ilvl w:val="0"/>
          <w:numId w:val="2"/>
        </w:numPr>
        <w:spacing w:after="80"/>
      </w:pPr>
      <w:r>
        <w:rPr>
          <w:rFonts w:ascii="Arial" w:cs="Arial" w:eastAsia="Arial" w:hAnsi="Arial"/>
          <w:sz w:val="22"/>
          <w:szCs w:val="22"/>
        </w:rPr>
        <w:t xml:space="preserve">При необходимости добавьте строки кнопкой "Добавить строку".</w:t>
      </w:r>
    </w:p>
    <w:p>
      <w:pPr>
        <w:pStyle w:val="ListParagraph"/>
        <w:numPr>
          <w:ilvl w:val="0"/>
          <w:numId w:val="2"/>
        </w:numPr>
        <w:spacing w:after="80"/>
      </w:pPr>
      <w:r>
        <w:rPr>
          <w:rFonts w:ascii="Arial" w:cs="Arial" w:eastAsia="Arial" w:hAnsi="Arial"/>
          <w:sz w:val="22"/>
          <w:szCs w:val="22"/>
        </w:rPr>
        <w:t xml:space="preserve">Нажмите "Отправить заявку".</w:t>
      </w:r>
    </w:p>
    <w:p>
      <w:pPr>
        <w:pStyle w:val="ListParagraph"/>
        <w:numPr>
          <w:ilvl w:val="0"/>
          <w:numId w:val="2"/>
        </w:numPr>
        <w:spacing w:after="80"/>
      </w:pPr>
      <w:r>
        <w:rPr>
          <w:rFonts w:ascii="Arial" w:cs="Arial" w:eastAsia="Arial" w:hAnsi="Arial"/>
          <w:sz w:val="22"/>
          <w:szCs w:val="22"/>
        </w:rPr>
        <w:t xml:space="preserve">В окне введите ФИО и телефон ответственного, нажмите "Отправить заявку".</w:t>
      </w:r>
    </w:p>
    <w:p>
      <w:pPr>
        <w:spacing w:after="100"/>
      </w:pPr>
      <w:r>
        <w:t xml:space="preserve"/>
      </w:r>
    </w:p>
    <w:p>
      <w:pPr>
        <w:pStyle w:val="Heading2"/>
      </w:pPr>
      <w:r>
        <w:rPr>
          <w:rFonts w:ascii="Arial" w:cs="Arial" w:eastAsia="Arial" w:hAnsi="Arial"/>
          <w:b/>
          <w:bCs/>
          <w:color w:val="2E5596"/>
          <w:sz w:val="26"/>
          <w:szCs w:val="26"/>
        </w:rPr>
        <w:t xml:space="preserve">3. Ограничения по дате и времени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b/>
                <w:bCs/>
                <w:color w:val="7F6000"/>
                <w:sz w:val="22"/>
                <w:szCs w:val="22"/>
              </w:rPr>
              <w:t xml:space="preserve">⚠ Дата поставки: от сегодня до +7 дней. Для текущей даты время — только следующий час и позже.</w:t>
            </w:r>
          </w:p>
        </w:tc>
      </w:tr>
    </w:tbl>
    <w:p>
      <w:pPr>
        <w:spacing w:after="100"/>
      </w:pPr>
      <w:r>
        <w:t xml:space="preserve"/>
      </w:r>
    </w:p>
    <w:p>
      <w:pPr>
        <w:pStyle w:val="Heading2"/>
      </w:pPr>
      <w:r>
        <w:rPr>
          <w:rFonts w:ascii="Arial" w:cs="Arial" w:eastAsia="Arial" w:hAnsi="Arial"/>
          <w:b/>
          <w:bCs/>
          <w:color w:val="2E5596"/>
          <w:sz w:val="26"/>
          <w:szCs w:val="26"/>
        </w:rPr>
        <w:t xml:space="preserve">4. Материалы и марки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Материал / Марка</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Доступные значения</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Бетон — класс</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В 7,5 / В 12,5 / В 15 / В 20 / В 22,5 / В 25 / В 30 (обычный)</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Бетон — класс СС</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В 7,5 СС / В 12,5 СС / В 15 СС / В 20 СС / В 22,5 СС / В 25 СС / В 30 СС</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Бетон — специальный</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В 40 F 300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Пескобетон</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М100 / М150 / М200 / М250 / М350 / М400</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Бетон — подвижность</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П3 или П4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Раствор</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М 50 / М 75 / М 100</w:t>
            </w:r>
          </w:p>
        </w:tc>
      </w:tr>
    </w:tbl>
    <w:p>
      <w:pPr>
        <w:spacing w:after="100"/>
      </w:pPr>
      <w:r>
        <w:t xml:space="preserve"/>
      </w:r>
    </w:p>
    <w:p>
      <w:pPr>
        <w:pStyle w:val="Heading2"/>
      </w:pPr>
      <w:r>
        <w:rPr>
          <w:rFonts w:ascii="Arial" w:cs="Arial" w:eastAsia="Arial" w:hAnsi="Arial"/>
          <w:b/>
          <w:bCs/>
          <w:color w:val="2E5596"/>
          <w:sz w:val="26"/>
          <w:szCs w:val="26"/>
        </w:rPr>
        <w:t xml:space="preserve">5. Конструктивы по типу этажа (для бетона)</w:t>
      </w:r>
    </w:p>
    <w:p>
      <w:pPr>
        <w:pStyle w:val="Heading3"/>
      </w:pPr>
      <w:r>
        <w:rPr>
          <w:rFonts w:ascii="Arial" w:cs="Arial" w:eastAsia="Arial" w:hAnsi="Arial"/>
          <w:b/>
          <w:bCs/>
          <w:color w:val="375A7F"/>
          <w:sz w:val="24"/>
          <w:szCs w:val="24"/>
        </w:rPr>
        <w:t xml:space="preserve">Конструктив зависит от типа этажа: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Тип этажа</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Доступные конструктивы</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Обычный этаж (1–16 этаж)</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вертикал, плита, лестница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Кровля</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вертикал, парапет, плита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ниже 0.000</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вертикал, вход в подвал, входная группа, плита, световые приямки, фундамент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Кирпичный этаж (1–6 эт. кирп)</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антисейсмический пояс, монолитная обвязка, плита монолитная</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Кровля кирп</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монолитная</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ниже 0.000 кирп</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вход в подвал, входная группа, монолитные участки, световые приямки, фундамент, плита</w:t>
            </w:r>
          </w:p>
        </w:tc>
      </w:tr>
    </w:tbl>
    <w:p>
      <w:pPr>
        <w:spacing w:after="100"/>
      </w:pPr>
      <w:r>
        <w:t xml:space="preserve"/>
      </w:r>
    </w:p>
    <w:p>
      <w:pPr>
        <w:pStyle w:val="Heading2"/>
      </w:pPr>
      <w:r>
        <w:rPr>
          <w:rFonts w:ascii="Arial" w:cs="Arial" w:eastAsia="Arial" w:hAnsi="Arial"/>
          <w:b/>
          <w:bCs/>
          <w:color w:val="2E5596"/>
          <w:sz w:val="26"/>
          <w:szCs w:val="26"/>
        </w:rPr>
        <w:t xml:space="preserve">6. Конструктивы по типу этажа (общая таблица, включая раствор)</w:t>
      </w:r>
    </w:p>
    <w:p>
      <w:pPr>
        <w:pStyle w:val="Heading3"/>
      </w:pPr>
      <w:r>
        <w:rPr>
          <w:rFonts w:ascii="Arial" w:cs="Arial" w:eastAsia="Arial" w:hAnsi="Arial"/>
          <w:b/>
          <w:bCs/>
          <w:color w:val="375A7F"/>
          <w:sz w:val="24"/>
          <w:szCs w:val="24"/>
        </w:rPr>
        <w:t xml:space="preserve">Все конструктивы (бетон + раствор):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Тип этажа</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Доступные конструктивы</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Обычный этаж (1–16 этаж)</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вертикал, плита, лестница, каменная кладка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Кровля</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вертикал, парапет, плита, каменная кладка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ниже 0.000</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вертикал, вход в подвал, входная группа, плита, световые приямки, фундамент, каменная кладка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Кирпичный этаж (1–6 эт. кирп)</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антисейсмический пояс, монолитная обвязка, плита монолитная, каменная кладка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Кровля кирпич</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монолитная, каменная кладка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ниже 0.000 кирп</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вход в подвал, входная группа, монолитные участки, световые приямки, фундамент, плита, каменная кладка</w:t>
            </w:r>
          </w:p>
        </w:tc>
      </w:tr>
    </w:tbl>
    <w:p>
      <w:pPr>
        <w:spacing w:after="100"/>
      </w:pPr>
      <w:r>
        <w:t xml:space="preserve"/>
      </w:r>
    </w:p>
    <w:p>
      <w:pPr>
        <w:pStyle w:val="Heading2"/>
      </w:pPr>
      <w:r>
        <w:rPr>
          <w:rFonts w:ascii="Arial" w:cs="Arial" w:eastAsia="Arial" w:hAnsi="Arial"/>
          <w:b/>
          <w:bCs/>
          <w:color w:val="2E5596"/>
          <w:sz w:val="26"/>
          <w:szCs w:val="26"/>
        </w:rPr>
        <w:t xml:space="preserve">7. Справочник объектов</w:t>
      </w:r>
    </w:p>
    <w:p>
      <w:pPr>
        <w:pStyle w:val="Heading3"/>
      </w:pPr>
      <w:r>
        <w:rPr>
          <w:rFonts w:ascii="Arial" w:cs="Arial" w:eastAsia="Arial" w:hAnsi="Arial"/>
          <w:b/>
          <w:bCs/>
          <w:color w:val="375A7F"/>
          <w:sz w:val="24"/>
          <w:szCs w:val="24"/>
        </w:rPr>
        <w:t xml:space="preserve">Категории объектов и доступные объекты: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Категория объекта</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Объекты</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Строительство жилых домов</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Брик таун 1, Брик таун 2, НЖ 3, НЖ 4, НЖ 5, СПОРТ 2, Экополис, Элитка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Строительство и ремонт дорог</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Дороги НЖ 4,5, Дорога Шале ла Бале, Развязка, Средний ремонт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Строительство и реконструкция коммерческих, частных и туристических объектов</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Горная Ульбинка, Здания коммерческого назначения, Зимовьё, Коммерческие объекты, Коммерческие помещения в жилых домах, Мелада, Нуртау, Орлан, Склад Озеро (Бухтарма), Урунтаева 12/1, Черемушки</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Строительство сетей и благоустройство</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Сети и благоустройство, Благоустройство, Инженерные сети, Развязка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Строительство объектов инфраструктуры (кроме жилых домов)</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Бизнес центр пр.Победы, Ветлаборатория, Резиденция, Учебные заведения, Хилтон, АБК на НЖ 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Производственные объекты</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База Самарское, База Эскор, БРУ, Востокмашзавод, Карьеры, Кирзавод, КОС, Новоявленка, Парыгино, Цех брусчатки, Цех ЖБИ, ШМКК, АБЗ</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Гарантийные работы</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Нурлы Жол 1-2, 19 мкр.</w:t>
            </w:r>
          </w:p>
        </w:tc>
      </w:tr>
    </w:tbl>
    <w:p>
      <w:pPr>
        <w:spacing w:after="100"/>
      </w:pPr>
      <w:r>
        <w:t xml:space="preserve"/>
      </w:r>
    </w:p>
    <w:p>
      <w:pPr>
        <w:pStyle w:val="Heading3"/>
      </w:pPr>
      <w:r>
        <w:rPr>
          <w:rFonts w:ascii="Arial" w:cs="Arial" w:eastAsia="Arial" w:hAnsi="Arial"/>
          <w:b/>
          <w:bCs/>
          <w:color w:val="375A7F"/>
          <w:sz w:val="24"/>
          <w:szCs w:val="24"/>
        </w:rPr>
        <w:t xml:space="preserve">Объекты и позиции: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Объект</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Позиции</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Бизнес центр пр.Победы</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здание АТЦ, паркинг АТЦ</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Брик таун 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2, 3, 4, 5, 6, 7, 8, 9, 10, 11, 12, 13, 14, 8/1, 9/1, 11/1</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Брик таун 2</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пятно I, пятно II, пятно III</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НЖ 3</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поз.56, поз.57, поз.58, поз.59, поз.60, поз.63, поз.64, поз.65, поз.69, поз.72, Стройгородок НЖ3</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Экополис</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Экополис поз.103, Экополис поз.104, Экополис паркинг поз.105</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НЖ 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поз.1.1, поз.1.2, поз.1.3, поз.1.4, поз.1.5, поз.1.6, поз.1.7, поз.1.8, поз.1.9</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НЖ 5</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поз.4.1, поз.4.2, поз.4.3, поз.4.4, поз.4.5, поз.4.6, поз.4.7, поз.4.8, поз.4.9, поз.4.10-4.12, поз.4.11</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СПОРТ 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поз.100, поз.101, поз.73-75, поз.74, поз.76, поз.93</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Элитка</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Элитка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Дороги НЖ 4,5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Дороги НЖ 4,5</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Дорога Шале ла Бале</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Дорога Шале ла Бале</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Развязка</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Развязка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Горная Ульбинка</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Горная Ульбинка, Орленок, Каменный карьер</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Зимовьё</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Зимовьё</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Коммерческие объекты</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ROYAL B, Автомойка (АТХ), Автомойка (Нурлы Жол), Кафе Бистро, Кренделия, Сатпаева 55А, До-до пицца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Коммерческие помещения в жилых домах</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Магазин Жибек Жолы 3, Медцентр Жибек Жолы, поз.107 (Детский сад), поз.107 КП, поз.13/1 КП, поз.49/1 КП, поз.50/1 КП (Салон Красоты), поз.53/2 КП</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Мелада</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Мелада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Склад Озеро (Бухтарма)</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Склад Озеро (Бухтарма)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Нуртау</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Нуртау</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Орлан</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б/о Орлан, Орлан ИЖД-1</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Средний ремонт</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Средний ремонт (Бажова), Средний ремонт (Назарбаева), Средний ремонт (Согринская)</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Урунтаева 12/1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Урунтаева 12/1</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Черемушки</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Черемушки</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Сети и благоустройство</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Н.Бухтарма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Благоустройство</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Благоустройство Гребной канал, Благоустройство НЖ3, Благоустройство СПОРТ 2</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Инженерные сети</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Коллектор, Сети ОВ ВК НЖ 3, Сети ОВ ВК НЖ 4, Сети ОВ ВК НЖ 5, Сети ОВ ВК СПОРТ 2, Сети Эл НЖ 4,5, Сети ОВ ВК Комфортная школа, Сети ОВ ВК Брик Таун 2</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Ветлаборатория</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Ветлаборатория</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Резиденция</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Резиденция</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Учебные заведения</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Дет.сад НЖ, Комфортная школа, Ледовый каток, Лицей</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Хилтон</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Хилтон</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База Самарское</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База Самарское, Пропарочная камера, Строительство цеха ЖБИ</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База Эскор</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База Эскор</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БРУ</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БРУ</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Востокмашзавод</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Востокмашзавод</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Карьеры</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Карьер Аблакетка, Карьер Новоявленка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Кирзавод</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Кирзавод</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КОС</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КОС</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Новоявленка</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Комбинат ПГС</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Парыгино</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БСУ</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Цех брусчатки</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Цех брусчатки</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Цех ЖБИ</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Цех ЖБИ</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Нурлы Жол 1-2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поз.40, поз.41, поз.42, поз.53, поз.54, поз.55, поз.49/1, поз.50/1, поз.51/1, поз.53/1, поз.53/2, поз.54/1, поз.54/2</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19 мкр.</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19 мкр.</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Здания коммерческого назначения</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Есенберлина 6Б</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ШМКК</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ШМКК</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АБК на НЖ 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АБК на НЖ 4</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АБЗ</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АБЗ п.Касыма Кайсенова</w:t>
            </w:r>
          </w:p>
        </w:tc>
      </w:tr>
    </w:tbl>
    <w:p>
      <w:pPr>
        <w:spacing w:after="100"/>
      </w:pPr>
      <w:r>
        <w:t xml:space="preserve"/>
      </w:r>
    </w:p>
    <w:p>
      <w:pPr>
        <w:pStyle w:val="Heading3"/>
      </w:pPr>
      <w:r>
        <w:rPr>
          <w:rFonts w:ascii="Arial" w:cs="Arial" w:eastAsia="Arial" w:hAnsi="Arial"/>
          <w:b/>
          <w:bCs/>
          <w:color w:val="375A7F"/>
          <w:sz w:val="24"/>
          <w:szCs w:val="24"/>
        </w:rPr>
        <w:t xml:space="preserve">Позиции с блоками (Позиция → Блоки):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F" w:val="clear"/>
            <w:tcMar>
              <w:top w:type="dxa" w:w="120"/>
              <w:left w:type="dxa" w:w="180"/>
              <w:bottom w:type="dxa" w:w="120"/>
              <w:right w:type="dxa" w:w="180"/>
            </w:tcMar>
          </w:tcPr>
          <w:p>
            <w:r>
              <w:rPr>
                <w:rFonts w:ascii="Arial" w:cs="Arial" w:eastAsia="Arial" w:hAnsi="Arial"/>
                <w:color w:val="1F3864"/>
                <w:sz w:val="22"/>
                <w:szCs w:val="22"/>
              </w:rPr>
              <w:t xml:space="preserve">ℹ Блоки доступны только для перечисленных позиций. Для остальных — Блок, Этаж и Конструктив неактивны, вместо них выбирается Материал вручную.</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Позиция</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Доступные блоки</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здание АТЦ</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(14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паркинг АТЦ</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поз.1.1</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поз.1.3</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поз.1.5</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поз.1.7</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поз.1.9</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поз.100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(12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поз.101</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(12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поз.56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поз.57</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(12 эт), Блок 2 (9 эт), Блок 3 (2 эт), Блок 4 (9 эт), Блок 5 (12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поз.58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(12 эт), Блок 2 (9 эт), Блок 3 (2 эт), Блок 4 (9 эт), Блок 5 (12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поз.59</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(12 эт), Блок 2 (9 эт), Блок 3 (2 эт), Блок 4 (9 эт), Блок 5 (12 эт), Блок 6 (1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поз.60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поз.63</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(12 эт), Блок 2 (9 эт), Блок 3 (2 эт), Блок 4 (9 эт), Блок 5 (12 эт), Блок 6 (1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поз.64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поз.65</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(12 эт), Блок 3 (2 эт), Блок 4 (12 эт), Блок 5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поз.69</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(12 эт), Блок 3 (2 эт), Блок 4 (12 эт), Блок 5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поз.72</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поз.73-75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поз.74</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поз.76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поз.93</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пятно I</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1.3 (6 эт), Блок 2.1 (6 эт), Блок 2.2 (6 эт), Блок 2.3 (6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пятно II</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1.1 (6 эт), Блок 1.2 (6 эт), Блок 2.1 (6 эт), Блок 2.2 (6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пятно III</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3.1 (6 эт), Блок 3.2 (6 эт), Блок 3.3 (6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Экополис поз.103</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Экополис поз.104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(16 эт)</w:t>
            </w:r>
          </w:p>
        </w:tc>
      </w:tr>
    </w:tbl>
    <w:p>
      <w:pPr>
        <w:spacing w:after="100"/>
      </w:pPr>
      <w:r>
        <w:t xml:space="preserve"/>
      </w:r>
    </w:p>
    <w:p>
      <w:pPr>
        <w:pStyle w:val="Heading3"/>
      </w:pPr>
      <w:r>
        <w:rPr>
          <w:rFonts w:ascii="Arial" w:cs="Arial" w:eastAsia="Arial" w:hAnsi="Arial"/>
          <w:b/>
          <w:bCs/>
          <w:color w:val="375A7F"/>
          <w:sz w:val="24"/>
          <w:szCs w:val="24"/>
        </w:rPr>
        <w:t xml:space="preserve">Этажи по блокам: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Блок (по количеству этажей)</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Доступные этажи</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 эт), Блок 6 (1 эт.)</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ниже 0.000, 1 этаж, Кровля</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3 (2 эт)</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ниже 0.000, 1–2 этаж, Кровля</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9-этажные блоки</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ниже 0.000, 1–9 этаж, Кровля</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12-этажные блоки</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ниже 0.000, 1–12 этаж, Кровля</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(14 эт)</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ниже 0.000, 1–14 этаж, Кровля</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(16 эт)</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ниже 0.000, 1–16 этаж, Кровля</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6-этажные кирп. блоки (Брик таун 2)</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ниже 0.000 (кирп), 1–6 эт. (кирп), Кровля (кирп)</w:t>
            </w:r>
          </w:p>
        </w:tc>
      </w:tr>
    </w:tbl>
    <w:p>
      <w:pPr>
        <w:spacing w:after="100"/>
      </w:pPr>
      <w:r>
        <w:t xml:space="preserve"/>
      </w:r>
    </w:p>
    <w:sectPr>
      <w:headerReference w:type="default" r:id="rId7"/>
      <w:footerReference w:type="default" r:id="rId8"/>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Стр.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6" w:sz="6" w:space="1"/>
      </w:pBdr>
    </w:pPr>
    <w:r>
      <w:rPr>
        <w:rFonts w:ascii="Arial" w:cs="Arial" w:eastAsia="Arial" w:hAnsi="Arial"/>
        <w:color w:val="666666"/>
        <w:sz w:val="20"/>
        <w:szCs w:val="20"/>
      </w:rPr>
      <w:t xml:space="preserve">Инструкция: Заявка на бетон и раствор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55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75A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2026-06-29T10:33:55.445Z</dcterms:created>
  <dcterms:modified xsi:type="dcterms:W3CDTF">2026-06-29T10:33:55.445Z</dcterms:modified>
</cp:coreProperties>
</file>

<file path=docProps/custom.xml><?xml version="1.0" encoding="utf-8"?>
<Properties xmlns="http://schemas.openxmlformats.org/officeDocument/2006/custom-properties" xmlns:vt="http://schemas.openxmlformats.org/officeDocument/2006/docPropsVTypes"/>
</file>