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2"/>
          <w:szCs w:val="32"/>
        </w:rPr>
        <w:t xml:space="preserve">ЗАЯВКА НА ЛАБОРАТОРНЫЕ ИСПЫТАНИЯ</w:t>
      </w:r>
    </w:p>
    <w:p>
      <w:pPr>
        <w:spacing w:after="100"/>
      </w:pPr>
      <w:r>
        <w:rPr>
          <w:rFonts w:ascii="Arial" w:cs="Arial" w:eastAsia="Arial" w:hAnsi="Arial"/>
          <w:sz w:val="22"/>
          <w:szCs w:val="22"/>
        </w:rPr>
        <w:t xml:space="preserve">Форма предназначена для заказа лабораторных испытаний строительных материалов и конструкций.</w:t>
      </w:r>
    </w:p>
    <w:p>
      <w:pPr>
        <w:spacing w:after="100"/>
      </w:pPr>
      <w:r>
        <w:t xml:space="preserve"/>
      </w:r>
    </w:p>
    <w:p>
      <w:pPr>
        <w:pStyle w:val="Heading2"/>
      </w:pPr>
      <w:r>
        <w:rPr>
          <w:rFonts w:ascii="Arial" w:cs="Arial" w:eastAsia="Arial" w:hAnsi="Arial"/>
          <w:b/>
          <w:bCs/>
          <w:color w:val="2E5596"/>
          <w:sz w:val="26"/>
          <w:szCs w:val="26"/>
        </w:rPr>
        <w:t xml:space="preserve">1. Назначение формы</w:t>
      </w:r>
    </w:p>
    <w:p>
      <w:pPr>
        <w:spacing w:after="100"/>
      </w:pPr>
      <w:r>
        <w:rPr>
          <w:rFonts w:ascii="Arial" w:cs="Arial" w:eastAsia="Arial" w:hAnsi="Arial"/>
          <w:sz w:val="22"/>
          <w:szCs w:val="22"/>
        </w:rPr>
        <w:t xml:space="preserve">Позволяет подать заявку на проверку степени уплотнения грунта или прочности бетона с указанием места проведения работ.</w:t>
      </w:r>
    </w:p>
    <w:p>
      <w:pPr>
        <w:spacing w:after="100"/>
      </w:pPr>
      <w:r>
        <w:t xml:space="preserve"/>
      </w:r>
    </w:p>
    <w:p>
      <w:pPr>
        <w:pStyle w:val="Heading2"/>
      </w:pPr>
      <w:r>
        <w:rPr>
          <w:rFonts w:ascii="Arial" w:cs="Arial" w:eastAsia="Arial" w:hAnsi="Arial"/>
          <w:b/>
          <w:bCs/>
          <w:color w:val="2E5596"/>
          <w:sz w:val="26"/>
          <w:szCs w:val="26"/>
        </w:rPr>
        <w:t xml:space="preserve">2. Пошаговое заполнение</w:t>
      </w:r>
    </w:p>
    <w:p>
      <w:pPr>
        <w:pStyle w:val="ListParagraph"/>
        <w:numPr>
          <w:ilvl w:val="0"/>
          <w:numId w:val="2"/>
        </w:numPr>
        <w:spacing w:after="80"/>
      </w:pPr>
      <w:r>
        <w:rPr>
          <w:rFonts w:ascii="Arial" w:cs="Arial" w:eastAsia="Arial" w:hAnsi="Arial"/>
          <w:sz w:val="22"/>
          <w:szCs w:val="22"/>
        </w:rPr>
        <w:t xml:space="preserve">Откройте страницу "Заявка на лабораторные испытания" в системе.</w:t>
      </w:r>
    </w:p>
    <w:p>
      <w:pPr>
        <w:pStyle w:val="ListParagraph"/>
        <w:numPr>
          <w:ilvl w:val="0"/>
          <w:numId w:val="2"/>
        </w:numPr>
        <w:spacing w:after="80"/>
      </w:pPr>
      <w:r>
        <w:rPr>
          <w:rFonts w:ascii="Arial" w:cs="Arial" w:eastAsia="Arial" w:hAnsi="Arial"/>
          <w:sz w:val="22"/>
          <w:szCs w:val="22"/>
        </w:rPr>
        <w:t xml:space="preserve">Выберите ВИД ИСПЫТАНИЯ из списка.</w:t>
      </w:r>
    </w:p>
    <w:p>
      <w:pPr>
        <w:pStyle w:val="ListParagraph"/>
        <w:numPr>
          <w:ilvl w:val="0"/>
          <w:numId w:val="2"/>
        </w:numPr>
        <w:spacing w:after="80"/>
      </w:pPr>
      <w:r>
        <w:rPr>
          <w:rFonts w:ascii="Arial" w:cs="Arial" w:eastAsia="Arial" w:hAnsi="Arial"/>
          <w:sz w:val="22"/>
          <w:szCs w:val="22"/>
        </w:rPr>
        <w:t xml:space="preserve">Выберите ДАТУ (от сегодня до +7 дней).</w:t>
      </w:r>
    </w:p>
    <w:p>
      <w:pPr>
        <w:pStyle w:val="ListParagraph"/>
        <w:numPr>
          <w:ilvl w:val="0"/>
          <w:numId w:val="2"/>
        </w:numPr>
        <w:spacing w:after="80"/>
      </w:pPr>
      <w:r>
        <w:rPr>
          <w:rFonts w:ascii="Arial" w:cs="Arial" w:eastAsia="Arial" w:hAnsi="Arial"/>
          <w:sz w:val="22"/>
          <w:szCs w:val="22"/>
        </w:rPr>
        <w:t xml:space="preserve">Выберите КАТЕГОРИЮ объекта.</w:t>
      </w:r>
    </w:p>
    <w:p>
      <w:pPr>
        <w:pStyle w:val="ListParagraph"/>
        <w:numPr>
          <w:ilvl w:val="0"/>
          <w:numId w:val="2"/>
        </w:numPr>
        <w:spacing w:after="80"/>
      </w:pPr>
      <w:r>
        <w:rPr>
          <w:rFonts w:ascii="Arial" w:cs="Arial" w:eastAsia="Arial" w:hAnsi="Arial"/>
          <w:sz w:val="22"/>
          <w:szCs w:val="22"/>
        </w:rPr>
        <w:t xml:space="preserve">Выберите ОБЪЕКТ (зависит от категории).</w:t>
      </w:r>
    </w:p>
    <w:p>
      <w:pPr>
        <w:pStyle w:val="ListParagraph"/>
        <w:numPr>
          <w:ilvl w:val="0"/>
          <w:numId w:val="2"/>
        </w:numPr>
        <w:spacing w:after="80"/>
      </w:pPr>
      <w:r>
        <w:rPr>
          <w:rFonts w:ascii="Arial" w:cs="Arial" w:eastAsia="Arial" w:hAnsi="Arial"/>
          <w:sz w:val="22"/>
          <w:szCs w:val="22"/>
        </w:rPr>
        <w:t xml:space="preserve">Выберите ПОЗИЦИЮ (зависит от объекта).</w:t>
      </w:r>
    </w:p>
    <w:p>
      <w:pPr>
        <w:pStyle w:val="ListParagraph"/>
        <w:numPr>
          <w:ilvl w:val="0"/>
          <w:numId w:val="2"/>
        </w:numPr>
        <w:spacing w:after="80"/>
      </w:pPr>
      <w:r>
        <w:rPr>
          <w:rFonts w:ascii="Arial" w:cs="Arial" w:eastAsia="Arial" w:hAnsi="Arial"/>
          <w:sz w:val="22"/>
          <w:szCs w:val="22"/>
        </w:rPr>
        <w:t xml:space="preserve">Для "Прочность бетона" и позиций с блоками — выберите БЛОК, ЭТАЖ, КОНСТРУКТИВ.</w:t>
      </w:r>
    </w:p>
    <w:p>
      <w:pPr>
        <w:pStyle w:val="ListParagraph"/>
        <w:numPr>
          <w:ilvl w:val="0"/>
          <w:numId w:val="2"/>
        </w:numPr>
        <w:spacing w:after="80"/>
      </w:pPr>
      <w:r>
        <w:rPr>
          <w:rFonts w:ascii="Arial" w:cs="Arial" w:eastAsia="Arial" w:hAnsi="Arial"/>
          <w:sz w:val="22"/>
          <w:szCs w:val="22"/>
        </w:rPr>
        <w:t xml:space="preserve">Для "Степень уплотнения грунта" — Конструктив = "Основание" (автоматически, поле неактивно).</w:t>
      </w:r>
    </w:p>
    <w:p>
      <w:pPr>
        <w:pStyle w:val="ListParagraph"/>
        <w:numPr>
          <w:ilvl w:val="0"/>
          <w:numId w:val="2"/>
        </w:numPr>
        <w:spacing w:after="80"/>
      </w:pPr>
      <w:r>
        <w:rPr>
          <w:rFonts w:ascii="Arial" w:cs="Arial" w:eastAsia="Arial" w:hAnsi="Arial"/>
          <w:sz w:val="22"/>
          <w:szCs w:val="22"/>
        </w:rPr>
        <w:t xml:space="preserve">Если Объект = "Инженерные сети" — заполните ПРИМЕЧАНИЕ (обязательно).</w:t>
      </w:r>
    </w:p>
    <w:p>
      <w:pPr>
        <w:pStyle w:val="ListParagraph"/>
        <w:numPr>
          <w:ilvl w:val="0"/>
          <w:numId w:val="2"/>
        </w:numPr>
        <w:spacing w:after="80"/>
      </w:pPr>
      <w:r>
        <w:rPr>
          <w:rFonts w:ascii="Arial" w:cs="Arial" w:eastAsia="Arial" w:hAnsi="Arial"/>
          <w:sz w:val="22"/>
          <w:szCs w:val="22"/>
        </w:rPr>
        <w:t xml:space="preserve">При необходимости добавьте строки кнопкой "Добавить строку".</w:t>
      </w:r>
    </w:p>
    <w:p>
      <w:pPr>
        <w:pStyle w:val="ListParagraph"/>
        <w:numPr>
          <w:ilvl w:val="0"/>
          <w:numId w:val="2"/>
        </w:numPr>
        <w:spacing w:after="80"/>
      </w:pPr>
      <w:r>
        <w:rPr>
          <w:rFonts w:ascii="Arial" w:cs="Arial" w:eastAsia="Arial" w:hAnsi="Arial"/>
          <w:sz w:val="22"/>
          <w:szCs w:val="22"/>
        </w:rPr>
        <w:t xml:space="preserve">Нажмите "Отправить заявку".</w:t>
      </w:r>
    </w:p>
    <w:p>
      <w:pPr>
        <w:pStyle w:val="ListParagraph"/>
        <w:numPr>
          <w:ilvl w:val="0"/>
          <w:numId w:val="2"/>
        </w:numPr>
        <w:spacing w:after="80"/>
      </w:pPr>
      <w:r>
        <w:rPr>
          <w:rFonts w:ascii="Arial" w:cs="Arial" w:eastAsia="Arial" w:hAnsi="Arial"/>
          <w:sz w:val="22"/>
          <w:szCs w:val="22"/>
        </w:rPr>
        <w:t xml:space="preserve">В окне введите ФИО и телефон ответственного, нажмите "Отправить заявку".</w:t>
      </w:r>
    </w:p>
    <w:p>
      <w:pPr>
        <w:spacing w:after="100"/>
      </w:pPr>
      <w:r>
        <w:t xml:space="preserve"/>
      </w:r>
    </w:p>
    <w:p>
      <w:pPr>
        <w:pStyle w:val="Heading2"/>
      </w:pPr>
      <w:r>
        <w:rPr>
          <w:rFonts w:ascii="Arial" w:cs="Arial" w:eastAsia="Arial" w:hAnsi="Arial"/>
          <w:b/>
          <w:bCs/>
          <w:color w:val="2E5596"/>
          <w:sz w:val="26"/>
          <w:szCs w:val="26"/>
        </w:rPr>
        <w:t xml:space="preserve">3. Виды испытаний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Вид испытания</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Описание</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Степень уплотнения грунта</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Проверка степени уплотнения грунта. Конструктив = "Основание" (авто). Блок и Этаж недоступны.</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Прочность бетона с помощью ИПС</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Проверка прочности бетонных конструкций методом ИПС. Требует выбора Блока, Этажа и Конструктива (если позиция содержит блоки).</w:t>
            </w:r>
          </w:p>
        </w:tc>
      </w:tr>
    </w:tbl>
    <w:p>
      <w:pPr>
        <w:spacing w:after="100"/>
      </w:pPr>
      <w:r>
        <w:t xml:space="preserve"/>
      </w:r>
    </w:p>
    <w:p>
      <w:pPr>
        <w:pStyle w:val="Heading2"/>
      </w:pPr>
      <w:r>
        <w:rPr>
          <w:rFonts w:ascii="Arial" w:cs="Arial" w:eastAsia="Arial" w:hAnsi="Arial"/>
          <w:b/>
          <w:bCs/>
          <w:color w:val="2E5596"/>
          <w:sz w:val="26"/>
          <w:szCs w:val="26"/>
        </w:rPr>
        <w:t xml:space="preserve">4. Условная логика полей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F" w:val="clear"/>
            <w:tcMar>
              <w:top w:type="dxa" w:w="120"/>
              <w:left w:type="dxa" w:w="180"/>
              <w:bottom w:type="dxa" w:w="120"/>
              <w:right w:type="dxa" w:w="180"/>
            </w:tcMar>
          </w:tcPr>
          <w:p>
            <w:r>
              <w:rPr>
                <w:rFonts w:ascii="Arial" w:cs="Arial" w:eastAsia="Arial" w:hAnsi="Arial"/>
                <w:color w:val="1F3864"/>
                <w:sz w:val="22"/>
                <w:szCs w:val="22"/>
              </w:rPr>
              <w:t xml:space="preserve">ℹ Набор обязательных полей зависит от вида испытания и наличия блоков у позиции.</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Условие</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Поля</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Примечание</w:t>
            </w:r>
          </w:p>
        </w:tc>
      </w:tr>
      <w:tr>
        <w:tc>
          <w:tcPr>
            <w:tcW w:type="dxa" w:w="2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Вид = "Степень уплотнения грунта"</w:t>
            </w:r>
          </w:p>
        </w:tc>
        <w:tc>
          <w:tcPr>
            <w:tcW w:type="dxa" w:w="3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Дата, Категория, Объект, Позиция, Конструктив</w:t>
            </w:r>
          </w:p>
        </w:tc>
        <w:tc>
          <w:tcPr>
            <w:tcW w:type="dxa" w:w="3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Конструктив = "Основание" автоматически. Блок и Этаж неактивны.</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Вид = "Прочность бетона" + позиция С блоками</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Дата, Категория, Объект, Позиция, Блок, Этаж, Конструктив</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Все поля обязательны.</w:t>
            </w:r>
          </w:p>
        </w:tc>
      </w:tr>
      <w:tr>
        <w:tc>
          <w:tcPr>
            <w:tcW w:type="dxa" w:w="2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Вид = "Прочность бетона" + позиция БЕЗ блоков</w:t>
            </w:r>
          </w:p>
        </w:tc>
        <w:tc>
          <w:tcPr>
            <w:tcW w:type="dxa" w:w="3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Дата, Категория, Объект, Позиция</w:t>
            </w:r>
          </w:p>
        </w:tc>
        <w:tc>
          <w:tcPr>
            <w:tcW w:type="dxa" w:w="3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и Этаж неактивны. Конструктив — необязателен.</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Объект = "Инженерные сети"</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Дополнительно: Примечание</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Примечание становится обязательным.</w:t>
            </w:r>
          </w:p>
        </w:tc>
      </w:tr>
    </w:tbl>
    <w:p>
      <w:pPr>
        <w:spacing w:after="100"/>
      </w:pPr>
      <w:r>
        <w:t xml:space="preserve"/>
      </w:r>
    </w:p>
    <w:p>
      <w:pPr>
        <w:pStyle w:val="Heading2"/>
      </w:pPr>
      <w:r>
        <w:rPr>
          <w:rFonts w:ascii="Arial" w:cs="Arial" w:eastAsia="Arial" w:hAnsi="Arial"/>
          <w:b/>
          <w:bCs/>
          <w:color w:val="2E5596"/>
          <w:sz w:val="26"/>
          <w:szCs w:val="26"/>
        </w:rPr>
        <w:t xml:space="preserve">5. Ограничения</w:t>
      </w:r>
    </w:p>
    <w:p>
      <w:pPr>
        <w:pStyle w:val="ListParagraph"/>
        <w:numPr>
          <w:ilvl w:val="0"/>
          <w:numId w:val="3"/>
        </w:numPr>
        <w:spacing w:after="80"/>
      </w:pPr>
      <w:r>
        <w:rPr>
          <w:rFonts w:ascii="Arial" w:cs="Arial" w:eastAsia="Arial" w:hAnsi="Arial"/>
          <w:sz w:val="22"/>
          <w:szCs w:val="22"/>
        </w:rPr>
        <w:t xml:space="preserve">Дата: от сегодня до +7 дней.</w:t>
      </w:r>
    </w:p>
    <w:p>
      <w:pPr>
        <w:pStyle w:val="ListParagraph"/>
        <w:numPr>
          <w:ilvl w:val="0"/>
          <w:numId w:val="3"/>
        </w:numPr>
        <w:spacing w:after="80"/>
      </w:pPr>
      <w:r>
        <w:rPr>
          <w:rFonts w:ascii="Arial" w:cs="Arial" w:eastAsia="Arial" w:hAnsi="Arial"/>
          <w:sz w:val="22"/>
          <w:szCs w:val="22"/>
        </w:rPr>
        <w:t xml:space="preserve">Прошедшие даты недоступны.</w:t>
      </w:r>
    </w:p>
    <w:p>
      <w:pPr>
        <w:pStyle w:val="ListParagraph"/>
        <w:numPr>
          <w:ilvl w:val="0"/>
          <w:numId w:val="3"/>
        </w:numPr>
        <w:spacing w:after="80"/>
      </w:pPr>
      <w:r>
        <w:rPr>
          <w:rFonts w:ascii="Arial" w:cs="Arial" w:eastAsia="Arial" w:hAnsi="Arial"/>
          <w:sz w:val="22"/>
          <w:szCs w:val="22"/>
        </w:rPr>
        <w:t xml:space="preserve">При смене вида испытания все поля сбрасываются.</w:t>
      </w:r>
    </w:p>
    <w:p>
      <w:pPr>
        <w:pStyle w:val="ListParagraph"/>
        <w:numPr>
          <w:ilvl w:val="0"/>
          <w:numId w:val="3"/>
        </w:numPr>
        <w:spacing w:after="80"/>
      </w:pPr>
      <w:r>
        <w:rPr>
          <w:rFonts w:ascii="Arial" w:cs="Arial" w:eastAsia="Arial" w:hAnsi="Arial"/>
          <w:sz w:val="22"/>
          <w:szCs w:val="22"/>
        </w:rPr>
        <w:t xml:space="preserve">При Объект = "Инженерные сети" поле Примечание обязательно.</w:t>
      </w:r>
    </w:p>
    <w:p>
      <w:pPr>
        <w:spacing w:after="100"/>
      </w:pPr>
      <w:r>
        <w:t xml:space="preserve"/>
      </w:r>
    </w:p>
    <w:p>
      <w:pPr>
        <w:pStyle w:val="Heading2"/>
      </w:pPr>
      <w:r>
        <w:rPr>
          <w:rFonts w:ascii="Arial" w:cs="Arial" w:eastAsia="Arial" w:hAnsi="Arial"/>
          <w:b/>
          <w:bCs/>
          <w:color w:val="2E5596"/>
          <w:sz w:val="26"/>
          <w:szCs w:val="26"/>
        </w:rPr>
        <w:t xml:space="preserve">6. Справочник объектов</w:t>
      </w:r>
    </w:p>
    <w:p>
      <w:pPr>
        <w:pStyle w:val="Heading3"/>
      </w:pPr>
      <w:r>
        <w:rPr>
          <w:rFonts w:ascii="Arial" w:cs="Arial" w:eastAsia="Arial" w:hAnsi="Arial"/>
          <w:b/>
          <w:bCs/>
          <w:color w:val="375A7F"/>
          <w:sz w:val="24"/>
          <w:szCs w:val="24"/>
        </w:rPr>
        <w:t xml:space="preserve">Категории объектов и доступные объекты: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Категория объекта</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Объекты</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Строительство жилых домов</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Брик таун 1, Брик таун 2, НЖ 3, НЖ 4, НЖ 5, СПОРТ 2, Экополис, Элитка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Строительство и ремонт дорог</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Дороги НЖ 4,5, Дорога Шале ла Бале, Развязка, Средний ремонт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Строительство и реконструкция коммерческих, частных и туристических объектов</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Горная Ульбинка, Здания коммерческого назначения, Зимовьё, Коммерческие объекты, Коммерческие помещения в жилых домах, Мелада, Нуртау, Орлан, Склад Озеро (Бухтарма), Урунтаева 12/1, Черемушки</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Строительство сетей и благоустройство</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Сети и благоустройство, Благоустройство, Инженерные сети, Развязка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Строительство объектов инфраструктуры (кроме жилых домов)</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Бизнес центр пр.Победы, Ветлаборатория, Резиденция, Учебные заведения, Хилтон, АБК на НЖ 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Производственные объекты</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База Самарское, База Эскор, БРУ, Востокмашзавод, Карьеры, Кирзавод, КОС, Новоявленка, Парыгино, Цех брусчатки, Цех ЖБИ, ШМКК, АБЗ</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Гарантийные работы</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Нурлы Жол 1-2, 19 мкр.</w:t>
            </w:r>
          </w:p>
        </w:tc>
      </w:tr>
    </w:tbl>
    <w:p>
      <w:pPr>
        <w:spacing w:after="100"/>
      </w:pPr>
      <w:r>
        <w:t xml:space="preserve"/>
      </w:r>
    </w:p>
    <w:p>
      <w:pPr>
        <w:pStyle w:val="Heading3"/>
      </w:pPr>
      <w:r>
        <w:rPr>
          <w:rFonts w:ascii="Arial" w:cs="Arial" w:eastAsia="Arial" w:hAnsi="Arial"/>
          <w:b/>
          <w:bCs/>
          <w:color w:val="375A7F"/>
          <w:sz w:val="24"/>
          <w:szCs w:val="24"/>
        </w:rPr>
        <w:t xml:space="preserve">Объекты и позиции: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Объект</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Позиции</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Бизнес центр пр.Победы</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здание АТЦ, паркинг АТЦ</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Брик таун 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2, 3, 4, 5, 6, 7, 8, 9, 10, 11, 12, 13, 14, 8/1, 9/1, 11/1</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Брик таун 2</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пятно I, пятно II, пятно III</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НЖ 3</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поз.56, поз.57, поз.58, поз.59, поз.60, поз.63, поз.64, поз.65, поз.69, поз.72, Стройгородок НЖ3</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Экополис</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Экополис поз.103, Экополис поз.104, Экополис паркинг поз.105</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НЖ 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поз.1.1, поз.1.2, поз.1.3, поз.1.4, поз.1.5, поз.1.6, поз.1.7, поз.1.8, поз.1.9</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НЖ 5</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поз.4.1, поз.4.2, поз.4.3, поз.4.4, поз.4.5, поз.4.6, поз.4.7, поз.4.8, поз.4.9, поз.4.10-4.12, поз.4.11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СПОРТ 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поз.100, поз.101, поз.73-75, поз.74, поз.76, поз.93</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Элитка</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Элитка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Дороги НЖ 4,5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Дороги НЖ 4,5</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Дорога Шале ла Бале</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Дорога Шале ла Бале</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Развязка</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Развязка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Горная Ульбинка</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Горная Ульбинка, Орленок, Каменный карьер</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Зимовьё</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Зимовьё</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Коммерческие объекты</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ROYAL B, Автомойка (АТХ), Автомойка (Нурлы Жол), Кафе Бистро, Кренделия, Сатпаева 55А, До-до пицца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Коммерческие помещения в жилых домах</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Магазин Жибек Жолы 3, Медцентр Жибек Жолы, поз.107 (Детский сад), поз.107 КП, поз.13/1 КП, поз.49/1 КП, поз.50/1 КП (Салон Красоты), поз.53/2 КП</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Мелада</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Мелада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Склад Озеро (Бухтарма)</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Склад Озеро (Бухтарма)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Нуртау</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Нуртау</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Орлан</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б/о Орлан, Орлан ИЖД-1</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Средний ремонт</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Средний ремонт (Бажова), Средний ремонт (Назарбаева), Средний ремонт (Согринская)</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Урунтаева 12/1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Урунтаева 12/1</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Черемушки</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Черемушки</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Сети и благоустройство</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Н.Бухтарма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Благоустройство</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Благоустройство Гребной канал, Благоустройство НЖ3, Благоустройство СПОРТ 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Инженерные сети</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Коллектор, Сети ОВ ВК НЖ 3, Сети ОВ ВК НЖ 4, Сети ОВ ВК НЖ 5, Сети ОВ ВК СПОРТ 2, Сети Эл НЖ 4,5, Сети ОВ ВК Комфортная школа, Сети ОВ ВК Брик Таун 2</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Ветлаборатория</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Ветлаборатория</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Резиденция</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Резиденция</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Учебные заведения</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Дет.сад НЖ, Комфортная школа, Ледовый каток, Лицей</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Хилтон</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Хилтон</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База Самарское</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База Самарское, Пропарочная камера, Строительство цеха ЖБИ</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База Эскор</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База Эскор</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БРУ</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БРУ</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Востокмашзавод</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Востокмашзавод</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Карьеры</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Карьер Аблакетка, Карьер Новоявленка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Кирзавод</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Кирзавод</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КОС</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КОС</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Новоявленка</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Комбинат ПГС</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Парыгино</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БСУ</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Цех брусчатки</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Цех брусчатки</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Цех ЖБИ</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Цех ЖБИ</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Нурлы Жол 1-2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поз.40, поз.41, поз.42, поз.53, поз.54, поз.55, поз.49/1, поз.50/1, поз.51/1, поз.53/1, поз.53/2, поз.54/1, поз.54/2</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19 мкр.</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19 мкр.</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Здания коммерческого назначения</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Есенберлина 6Б</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ШМКК</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ШМКК</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АБК на НЖ 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АБК на НЖ 4</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АБЗ</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АБЗ п.Касыма Кайсенова</w:t>
            </w:r>
          </w:p>
        </w:tc>
      </w:tr>
    </w:tbl>
    <w:p>
      <w:pPr>
        <w:spacing w:after="100"/>
      </w:pPr>
      <w:r>
        <w:t xml:space="preserve"/>
      </w:r>
    </w:p>
    <w:p>
      <w:pPr>
        <w:pStyle w:val="Heading3"/>
      </w:pPr>
      <w:r>
        <w:rPr>
          <w:rFonts w:ascii="Arial" w:cs="Arial" w:eastAsia="Arial" w:hAnsi="Arial"/>
          <w:b/>
          <w:bCs/>
          <w:color w:val="375A7F"/>
          <w:sz w:val="24"/>
          <w:szCs w:val="24"/>
        </w:rPr>
        <w:t xml:space="preserve">Позиции с блоками: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F" w:val="clear"/>
            <w:tcMar>
              <w:top w:type="dxa" w:w="120"/>
              <w:left w:type="dxa" w:w="180"/>
              <w:bottom w:type="dxa" w:w="120"/>
              <w:right w:type="dxa" w:w="180"/>
            </w:tcMar>
          </w:tcPr>
          <w:p>
            <w:r>
              <w:rPr>
                <w:rFonts w:ascii="Arial" w:cs="Arial" w:eastAsia="Arial" w:hAnsi="Arial"/>
                <w:color w:val="1F3864"/>
                <w:sz w:val="22"/>
                <w:szCs w:val="22"/>
              </w:rPr>
              <w:t xml:space="preserve">ℹ Блоки доступны только для перечисленных позиций. Для остальных — поля Блок и Этаж неактивны.</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Позиция</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Доступные блоки</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здание АТЦ</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(14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паркинг АТЦ</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поз.1.1</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поз.1.3</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поз.1.5</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поз.1.7</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поз.1.9</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поз.100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(12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поз.101</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(12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поз.56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поз.57</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(12 эт), Блок 2 (9 эт), Блок 3 (2 эт), Блок 4 (9 эт), Блок 5 (12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поз.58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(12 эт), Блок 2 (9 эт), Блок 3 (2 эт), Блок 4 (9 эт), Блок 5 (12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поз.59</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(12 эт), Блок 2 (9 эт), Блок 3 (2 эт), Блок 4 (9 эт), Блок 5 (12 эт), Блок 6 (1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поз.60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поз.63</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(12 эт), Блок 2 (9 эт), Блок 3 (2 эт), Блок 4 (9 эт), Блок 5 (12 эт), Блок 6 (1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поз.64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поз.65</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(12 эт), Блок 3 (2 эт), Блок 4 (12 эт), Блок 5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поз.69</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(12 эт), Блок 3 (2 эт), Блок 4 (12 эт), Блок 5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поз.72</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поз.73-75</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поз.74</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поз.76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(9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поз.93</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(9 эт), Блок 2 (9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пятно I</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1.3 (6 эт), Блок 2.1 (6 эт), Блок 2.2 (6 эт), Блок 2.3 (6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пятно II</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1.1 (6 эт), Блок 1.2 (6 эт), Блок 2.1 (6 эт), Блок 2.2 (6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пятно III</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3.1 (6 эт), Блок 3.2 (6 эт), Блок 3.3 (6 эт)</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Экополис поз.103</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Блок 1 (16 эт)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Экополис поз.104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Блок 1 (16 эт)</w:t>
            </w:r>
          </w:p>
        </w:tc>
      </w:tr>
    </w:tbl>
    <w:p>
      <w:pPr>
        <w:spacing w:after="100"/>
      </w:pPr>
      <w:r>
        <w:t xml:space="preserve"/>
      </w:r>
    </w:p>
    <w:p>
      <w:pPr>
        <w:pStyle w:val="Heading3"/>
      </w:pPr>
      <w:r>
        <w:rPr>
          <w:rFonts w:ascii="Arial" w:cs="Arial" w:eastAsia="Arial" w:hAnsi="Arial"/>
          <w:b/>
          <w:bCs/>
          <w:color w:val="375A7F"/>
          <w:sz w:val="24"/>
          <w:szCs w:val="24"/>
        </w:rPr>
        <w:t xml:space="preserve">Конструктивы для испытания "Прочность бетона" по типу этажа: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Тип этажа</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Конструктивы</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Обычный этаж (1–16 этаж)</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вертикал, плита, лестница</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Кровля</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вертикал, парапет, плита</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ниже 0.000</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вертикал, вход в подвал, входная группа, плита, световые приямки, фундамент</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Кирпичный этаж (1–6 эт. кирп)</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антисейсмический пояс, монолитная обвязка, плита монолитная</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Кровля кирп</w:t>
            </w:r>
          </w:p>
        </w:tc>
        <w:tc>
          <w:tcPr>
            <w:tcW w:type="dxa" w:w="58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tcPr>
          <w:p>
            <w:r>
              <w:rPr>
                <w:rFonts w:ascii="Arial" w:cs="Arial" w:eastAsia="Arial" w:hAnsi="Arial"/>
                <w:sz w:val="20"/>
                <w:szCs w:val="20"/>
              </w:rPr>
              <w:t xml:space="preserve">плита монолитная</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ниже 0.000 кирп</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вход в подвал, входная группа, монолитные участки, световые приямки, фундамент, плита</w:t>
            </w:r>
          </w:p>
        </w:tc>
      </w:tr>
    </w:tbl>
    <w:p>
      <w:pPr>
        <w:spacing w:after="100"/>
      </w:pPr>
      <w:r>
        <w:t xml:space="preserve"/>
      </w:r>
    </w:p>
    <w:sectPr>
      <w:headerReference w:type="default" r:id="rId7"/>
      <w:footerReference w:type="default" r:id="rId8"/>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Стр.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6" w:sz="6" w:space="1"/>
      </w:pBdr>
    </w:pPr>
    <w:r>
      <w:rPr>
        <w:rFonts w:ascii="Arial" w:cs="Arial" w:eastAsia="Arial" w:hAnsi="Arial"/>
        <w:color w:val="666666"/>
        <w:sz w:val="20"/>
        <w:szCs w:val="20"/>
      </w:rPr>
      <w:t xml:space="preserve">Инструкция: Заявка на лабораторные испытания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55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75A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2026-06-29T10:33:55.563Z</dcterms:created>
  <dcterms:modified xsi:type="dcterms:W3CDTF">2026-06-29T10:33:55.563Z</dcterms:modified>
</cp:coreProperties>
</file>

<file path=docProps/custom.xml><?xml version="1.0" encoding="utf-8"?>
<Properties xmlns="http://schemas.openxmlformats.org/officeDocument/2006/custom-properties" xmlns:vt="http://schemas.openxmlformats.org/officeDocument/2006/docPropsVTypes"/>
</file>