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b/>
          <w:bCs/>
          <w:spacing w:val="20"/>
        </w:rPr>
        <w:t>разграничения балансовой принадлежности электросетей</w:t>
      </w:r>
      <w:r>
        <w:br/>
      </w:r>
      <w:r>
        <w:rPr>
          <w:b/>
          <w:bCs/>
          <w:spacing w:val="20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fldChar w:fldCharType="begin"/>
            </w:r>
            <w:r>
              <w:instrText xml:space="preserve">DATE </w:instrText>
            </w:r>
            <w:r>
              <w:instrText>\@ "dd MMMM yyyy"</w:instrText>
            </w:r>
            <w:r>
              <w:fldChar w:fldCharType="end"/>
            </w:r>
          </w:p>
        </w:tc>
      </w:tr>
    </w:tbl>
    <w:p>
      <w:pPr>
        <w:jc w:val="left"/>
      </w:pPr>
      <w:r>
        <w:t>РУП «Брестэнерго» именуемое в дальнейшем «Энергоснабжающая организация», в лице начальника Пинского городского РЭС филиала «Пинские электрические сети» РУП «Брестэнерго» действующего на основании доверенности №3501 от 17.07.2019г. с одной стороны, и Физическое (Юридическое) лицо именуемое в дальнейшем «Потребитель», в лице Михолап Марии Николаевны  действующей(его) на основании (доверенности № ) с другой стороны составили настоящий АКТ о нижеследующем.</w:t>
      </w:r>
    </w:p>
    <w:p>
      <w:pPr>
        <w:jc w:val="left"/>
      </w:pPr>
      <w:r>
        <w:tab/>
      </w:r>
      <w:r>
        <w:t>Разрешенная к использованию мощность 15,0 кВт.</w:t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76"/>
      </w:pPr>
    </w:pPrDefault>
  </w:docDefaults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