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>
        <w:jc w:val="center"/>
      </w:pPr>
      <w:r>
        <w:t>АКТ</w:t>
      </w:r>
      <w:r>
        <w:br/>
      </w:r>
      <w:r>
        <w:rPr>
          <w:rStyle w:val="ActFont"/>
        </w:rPr>
        <w:t>разграничения балансовой принадлежности электросетей</w:t>
      </w:r>
      <w:r>
        <w:br/>
      </w:r>
      <w:r>
        <w:rPr>
          <w:rStyle w:val="ActFont"/>
        </w:rPr>
        <w:t>и эксплуатационной ответственности сторон</w:t>
      </w:r>
    </w:p>
    <w:tbl>
      <w:tblPr>
        <w:tblStyle w:val="Table Grid"/>
        <w:tblLook w:firstRow="1" w:lastRow="0" w:firstColumn="1" w:lastColumn="0" w:noHBand="0" w:noVBand="1" w:val="04A0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</w:tblP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  <w:jc w:val="left"/>
            </w:pPr>
            <w:r>
              <w:t>г. Пинск</w:t>
            </w:r>
          </w:p>
        </w:tc>
        <w:tc>
          <w:tcPr>
            <w:cnfStyle w:val="000000000000"/>
          </w:tcPr>
          <w:p>
            <w:pPr>
              <w:cnfStyle w:val="000000000000"/>
              <w:jc w:val="right"/>
            </w:pPr>
            <w:r>
              <w:fldChar w:fldCharType="begin"/>
            </w:r>
            <w:r>
              <w:instrText xml:space="preserve">DATE </w:instrText>
            </w:r>
            <w:r>
              <w:instrText>\@ "dd MMMM yyyy"</w:instrText>
            </w:r>
            <w:r>
              <w:fldChar w:fldCharType="end"/>
            </w:r>
          </w:p>
        </w:tc>
      </w:tr>
    </w:tbl>
    <w:p>
      <w:pPr>
        <w:jc w:val="both"/>
      </w:pPr>
      <w:r>
        <w:br/>
      </w:r>
      <w:r>
        <w:t>РУП «Брестэнерго» именуемое в дальнейшем «Энергоснабжающая организация», в лице начальника Пинского городского РЭС филиала «Пинские электрические сети» РУП «Брестэнерго» Булавина Виталия Федоровича действующего на основании доверенности №3501 от 17.07.2019г. с одной стороны, и Физическое (Юридическое) лицо именуемое в дальнейшем «Потребитель», в лице Михолап Марии Николаевны  действующей(его) на основании (доверенности № ) с другой стороны составили настоящий АКТ о нижеследующем.</w:t>
      </w:r>
      <w:r>
        <w:tab/>
      </w:r>
    </w:p>
    <w:p>
      <w:pPr>
        <w:jc w:val="center"/>
      </w:pPr>
      <w:r>
        <w:t xml:space="preserve">На день составления Акта технические условия № 31/326 от 26.01.2019 </w:t>
      </w:r>
      <w:r>
        <w:br/>
      </w:r>
      <w:r>
        <w:t xml:space="preserve"> на внешнее электроснабжение объекта</w:t>
      </w:r>
    </w:p>
    <w:p>
      <w:pPr>
        <w:jc w:val="both"/>
      </w:pPr>
      <w:r>
        <w:t>Реконструкция нежилого помещения №2, расположенного по адресу:г. Пинск, ул. Ленина 41 под административно-торговый объект находящийся по адресу: г. Пинск, ул. Ленина 41-2</w:t>
      </w:r>
      <w:r>
        <w:tab/>
      </w:r>
    </w:p>
    <w:p>
      <w:pPr>
        <w:jc w:val="both"/>
      </w:pPr>
      <w:r>
        <w:tab/>
      </w:r>
      <w:r>
        <w:t>Разрешенная к использованию мощность 15,0 кВт.</w:t>
      </w:r>
      <w:r>
        <w:tab/>
      </w:r>
      <w:r>
        <w:br/>
      </w:r>
      <w:r>
        <w:tab/>
      </w:r>
      <w:r>
        <w:t>Электроустановки потребителя относятся к 3 категории по надежности электроснабжения.</w:t>
      </w:r>
      <w:r>
        <w:tab/>
      </w:r>
      <w:r>
        <w:br/>
      </w:r>
      <w:r>
        <w:tab/>
      </w:r>
      <w:r>
        <w:t>Схема внешнего электроснабжения относится к 3 категории по надежности электроснабжения.</w:t>
      </w:r>
      <w:r>
        <w:tab/>
      </w:r>
      <w:r>
        <w:br/>
      </w:r>
      <w:r>
        <w:tab/>
      </w:r>
      <w:r>
        <w:t>Энергоснабжающая организация не несет ответственности перед Потребителем за перерывы в электроснабжении при несоответствии схемы электроснабжения категории электроприемников Потребителя и повреждении оборудования, не находящегося у нее на балансе.</w:t>
      </w:r>
      <w:r>
        <w:tab/>
      </w:r>
      <w:r>
        <w:br/>
      </w:r>
      <w:r>
        <w:tab/>
      </w:r>
      <w:r>
        <w:t>В соответствии с главой 3 Правил электроснабжения границы раздела устанавливаются следующими:</w:t>
      </w:r>
      <w:r>
        <w:tab/>
      </w:r>
      <w:r>
        <w:br/>
      </w:r>
    </w:p>
    <w:p>
      <w:pPr>
        <w:jc w:val="both"/>
      </w:pPr>
      <w:r>
        <w:tab/>
      </w:r>
      <w:r>
        <w:rPr>
          <w:rStyle w:val="ActFont"/>
        </w:rPr>
        <w:t>I. По балансовой принадлежности:</w:t>
      </w:r>
      <w:r>
        <w:tab/>
      </w:r>
      <w:r>
        <w:br/>
      </w:r>
      <w:r>
        <w:t>ВЛ-0,4 кВ от ТП-12 Л-1 оп. №13 на балансе Пинского гор. РЭС.</w:t>
      </w:r>
      <w:r>
        <w:tab/>
      </w:r>
      <w:r>
        <w:br/>
      </w:r>
      <w:r>
        <w:t>КЛ-0,23 кВ от ВЛ-0,4 кВ от ТП-12 Л-1 оп. №13 до ВРУ - нежилого помещения по ул. Ленина 41-2 и внутреннее эл. оборудование на балансе Михолап М.Н.</w:t>
      </w:r>
      <w:r>
        <w:tab/>
      </w:r>
      <w:r>
        <w:br/>
      </w:r>
      <w:r>
        <w:t>Граница раздела между Пинским гор. РЭС и Михолап М.Н. на контактном присоединении КЛ-0,23 кВ от ВЛ-0,4 кВ от ТП-12 Л-1 оп. №13</w:t>
      </w:r>
      <w:r>
        <w:tab/>
      </w:r>
      <w:r>
        <w:br/>
      </w:r>
      <w:r>
        <w:br/>
      </w:r>
      <w:r>
        <w:tab/>
      </w:r>
      <w:r>
        <w:rPr>
          <w:rStyle w:val="ActFont"/>
        </w:rPr>
        <w:t>II. По Эксплутационной ответственности:</w:t>
      </w:r>
      <w:r>
        <w:tab/>
      </w:r>
      <w:r>
        <w:br/>
      </w:r>
      <w:r>
        <w:t>ВЛ-0,4 кВ от ТП-12 Л-1 оп. №13 на балансе Пинского гор. РЭС.</w:t>
      </w:r>
      <w:r>
        <w:tab/>
      </w:r>
      <w:r>
        <w:br/>
      </w:r>
      <w:r>
        <w:t>КЛ-0,23 кВ от ВЛ-0,4 кВ от ТП-12 Л-1 оп. №13 до ВРУ - нежилого помещения по ул. Ленина 41-2 и внутреннее эл. оборудование на балансе Михолап М.Н.</w:t>
      </w:r>
      <w:r>
        <w:tab/>
      </w:r>
      <w:r>
        <w:br/>
      </w:r>
      <w:r>
        <w:t>Граница раздела между Пинским гор. РЭС и Михолап М.Н. на контактном присоединении КЛ-0,23 кВ от ВЛ-0,4 кВ от ТП-12 Л-1 оп. №13</w:t>
      </w:r>
      <w:r>
        <w:tab/>
      </w:r>
      <w:r>
        <w:br/>
      </w:r>
    </w:p>
    <w:sectPr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806F8D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</w:rPr>
    </w:rPrDefault>
    <w:pPrDefault>
      <w:pPr>
        <w:spacing w:after="200" w:lineRule="auto" w:line="240"/>
      </w:pPr>
    </w:pPrDefault>
  </w:docDefaults>
  <w:style w:type="character" w:styleId="ActFont">
    <w:name w:val="ActFont"/>
    <w:qFormat/>
    <w:rPr>
      <w:b/>
      <w:bCs/>
      <w:spacing w:val="20"/>
    </w:rPr>
  </w:style>
  <w:style w:type="table" w:styleId="Normal Table" w:default="true">
    <w:name w:val="Normal Table"/>
    <w:uiPriority w:val="99"/>
    <w:semiHidden/>
    <w:unhideWhenUsed/>
    <w:qFormat/>
    <w:pPr/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able Grid">
    <w:name w:val="Table Grid"/>
    <w:basedOn w:val="Normal Table"/>
    <w:qFormat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color="000000"/>
        <w:left w:val="single" w:sz="4" w:color="000000"/>
        <w:bottom w:val="single" w:sz="4" w:color="000000"/>
        <w:right w:val="single" w:sz="4" w:color="000000"/>
        <w:insideH w:val="single" w:sz="4" w:color="000000"/>
        <w:insideV w:val="single" w:sz="4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comments" Target="comments.xml" /><Relationship Id="rId3" Type="http://schemas.microsoft.com/office/2011/relationships/commentsExtended" Target="commentsExtended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