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png" ContentType="image/pn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rStyle w:val="ActFont"/>
        </w:rPr>
        <w:t>разграничения балансовой принадлежности электросетей</w:t>
      </w:r>
      <w:r>
        <w:br/>
      </w:r>
      <w:r>
        <w:rPr>
          <w:rStyle w:val="ActFont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Пинск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t>28.04.2022</w:t>
            </w:r>
          </w:p>
        </w:tc>
      </w:tr>
    </w:tbl>
    <w:p>
      <w:pPr>
        <w:jc w:val="both"/>
      </w:pPr>
      <w:r>
        <w:br/>
      </w:r>
      <w:r>
        <w:t>РУП «Брестэнерго» именуемое в дальнейшем «Энергоснабжающая организация», в лице начальника Пинского Городского РЭС филиала «Пинские электрические сети» РУП «Брестэнерго» Булавина Виталия Федоровича действующего на основании доверенности от 01.09.2019 №2432 с одной стороны, и Физическое лицо  именуемое в дальнейшем «Потребитель», в лице Петрова Петра Петровича  с другой стороны составили настоящий АКТ о нижеследующем.</w:t>
      </w:r>
      <w:r>
        <w:tab/>
      </w:r>
    </w:p>
    <w:p>
      <w:pPr>
        <w:jc w:val="center"/>
      </w:pPr>
      <w:r>
        <w:t xml:space="preserve">На день составления Акта технические условия 31/62 от 30.03.2022 </w:t>
      </w:r>
      <w:r>
        <w:br/>
      </w:r>
      <w:r>
        <w:t xml:space="preserve"> на внешнее электроснабжение объекта</w:t>
      </w:r>
    </w:p>
    <w:p>
      <w:pPr>
        <w:jc w:val="both"/>
      </w:pPr>
      <w:r>
        <w:t>Перестройка в жилом доме на приусадебном земельном участке по ул. Северной, 36, находящегося по адресу г. Пинск, ул. Северная, 36 выполнены:</w:t>
      </w:r>
      <w:r>
        <w:tab/>
      </w:r>
    </w:p>
    <w:p>
      <w:pPr>
        <w:jc w:val="both"/>
      </w:pPr>
      <w:r>
        <w:tab/>
      </w:r>
      <w:r>
        <w:t>Разрешенная к использованию мощность 7,5 кВт.</w:t>
      </w:r>
      <w:r>
        <w:tab/>
      </w:r>
      <w:r>
        <w:br/>
      </w:r>
      <w:r>
        <w:tab/>
      </w:r>
      <w:r>
        <w:t>Электроустановки потребителя относятся к 3 категории по надежности электроснабжения.</w:t>
      </w:r>
      <w:r>
        <w:tab/>
      </w:r>
      <w:r>
        <w:br/>
      </w:r>
      <w:r>
        <w:tab/>
      </w:r>
      <w:r>
        <w:t>Схема внешнего электроснабжения относится к 3 категории по надежности электроснабжения.</w:t>
      </w:r>
      <w:r>
        <w:tab/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tab/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tab/>
      </w:r>
      <w:r>
        <w:br/>
      </w:r>
    </w:p>
    <w:p>
      <w:pPr>
        <w:jc w:val="both"/>
      </w:pPr>
      <w:r>
        <w:tab/>
      </w:r>
      <w:r>
        <w:rPr>
          <w:rStyle w:val="ActFont"/>
        </w:rPr>
        <w:t>I. По балансовой принадлежности:</w:t>
      </w:r>
      <w:r>
        <w:tab/>
      </w:r>
      <w:r>
        <w:br/>
      </w:r>
      <w:r>
        <w:t>ВЛ 3 от ЗТП-47 оп. №17 на балансе Пинского Городского РЭС.</w:t>
      </w:r>
      <w:r>
        <w:tab/>
      </w:r>
      <w:r>
        <w:br/>
      </w:r>
      <w:r>
        <w:t>Кабели вводов от оп. №17 ВЛ 3 от ЗТП-47 и внутреннее эл. оборудование расположенное по адресу г. Пинск, ул. Северная, 36 находится на балансе Потребителя</w:t>
      </w:r>
      <w:r>
        <w:tab/>
      </w:r>
      <w:r>
        <w:br/>
      </w:r>
      <w:r>
        <w:t>Граница раздела между Пинским Городским РЭС и Потребителем - контактное присоединение кабелей вводов на линейных опорах №17 ВЛ 3 от ЗТП-47</w:t>
      </w:r>
      <w:r>
        <w:tab/>
      </w:r>
      <w:r>
        <w:br/>
      </w:r>
      <w:r>
        <w:br/>
      </w:r>
      <w:r>
        <w:tab/>
      </w:r>
      <w:r>
        <w:rPr>
          <w:rStyle w:val="ActFont"/>
        </w:rPr>
        <w:t>II. По Эксплутационной ответственности:</w:t>
      </w:r>
      <w:r>
        <w:tab/>
      </w:r>
      <w:r>
        <w:br/>
      </w:r>
      <w:r>
        <w:t>ВЛ 3 от ЗТП-47 оп. №17 на балансе Пинского Городского РЭС.</w:t>
      </w:r>
      <w:r>
        <w:tab/>
      </w:r>
      <w:r>
        <w:br/>
      </w:r>
      <w:r>
        <w:t>Кабели вводов от оп. №17 ВЛ 3 от ЗТП-47 и внутреннее эл. оборудование расположенное по адресу г. Пинск, ул. Северная, 36 находится на балансе Потребителя</w:t>
      </w:r>
      <w:r>
        <w:tab/>
      </w:r>
      <w:r>
        <w:br/>
      </w:r>
      <w:r>
        <w:t>Граница раздела между Пинским Городским РЭС и Потребителем - контактное присоединение кабелей вводов на линейных опорах №17 ВЛ 3 от ЗТП-47</w:t>
      </w:r>
      <w:r>
        <w:tab/>
      </w:r>
      <w:r>
        <w:br/>
      </w:r>
    </w:p>
    <w:p>
      <w:pPr>
        <w:jc w:val="both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center"/>
      </w:pPr>
      <w:r>
        <w:t>Схема питания электроустановки:</w:t>
      </w:r>
      <w:r>
        <w:br/>
      </w:r>
      <w:r>
        <w:drawing>
          <wp:inline>
            <wp:extent cx="5724000" cy="3816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ab/>
      </w:r>
      <w:r>
        <w:t>ПРИМЕЧАНИЕ</w:t>
      </w:r>
      <w:r>
        <w:tab/>
      </w:r>
      <w:r>
        <w:br/>
      </w:r>
      <w:r>
        <w:tab/>
      </w:r>
      <w:r>
        <w:t>1.Границы по схеме обозначаются: балансовой принадлежности - красной линией; эксплуатационной ответственности - синей.</w:t>
      </w:r>
      <w:r>
        <w:tab/>
      </w:r>
      <w:r>
        <w:br/>
      </w:r>
      <w:r>
        <w:tab/>
      </w:r>
      <w:r>
        <w:t>2.При изменении срока действия Акта, присоединенных мощностей, схемы внешнего электроснабжения, категории надежности электроснабжения, границ балансовой принадлежности и эксплуатационной ответственности Акт подлежит замене.</w:t>
      </w:r>
      <w:r>
        <w:tab/>
      </w:r>
      <w:r>
        <w:br/>
      </w:r>
      <w:r>
        <w:tab/>
      </w:r>
      <w:r>
        <w:t>3.Доверенность потребителя на подписание акта разграничения хранится в энергоснабжающей организации.</w:t>
      </w:r>
      <w:r>
        <w:tab/>
      </w:r>
      <w:r>
        <w:br/>
      </w:r>
      <w:r>
        <w:tab/>
      </w:r>
      <w:r>
        <w:t>4.На схеме питания электроустановки указываются места установки приборов учета, параметры силовых и измерительных трансформаторов и ЛЭП.</w:t>
      </w:r>
      <w:r>
        <w:tab/>
      </w:r>
      <w:r>
        <w:br/>
      </w:r>
      <w:r>
        <w:tab/>
      </w:r>
      <w:r>
        <w:t>5.Потребителю запрещается без согласования с диспетчером энергоснабжающей организации самовольно производить переключения и изменять схему внешнего электроснабжения.</w:t>
      </w:r>
      <w:r>
        <w:tab/>
      </w:r>
      <w:r>
        <w:br/>
      </w:r>
      <w:r>
        <w:tab/>
      </w:r>
      <w:r>
        <w:t>6.Потребителю запрещается без согласования с энергоснабжающей организацией подключать к своим электроустановкам сторонних потребителей.</w:t>
      </w:r>
      <w:r>
        <w:tab/>
      </w:r>
      <w:r>
        <w:br/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Представитель энергоснабжающей организации</w:t>
            </w:r>
            <w:r>
              <w:br/>
            </w:r>
            <w:r>
              <w:t>Представитель Потребителя</w:t>
            </w:r>
            <w:r>
              <w:br/>
            </w:r>
            <w:r>
              <w:t>Представитель владельца</w:t>
            </w:r>
            <w:r>
              <w:br/>
            </w:r>
            <w:r>
              <w:t>транзитных электрических сетей</w:t>
            </w:r>
            <w:r>
              <w:br/>
            </w:r>
            <w:r>
              <w:t>Срок действия акта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br/>
            </w:r>
            <w:r>
              <w:t>_____</w:t>
            </w:r>
            <w:r>
              <w:br/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Булавин В.Ф.</w:t>
            </w:r>
            <w:r>
              <w:br/>
            </w:r>
            <w:r>
              <w:t>Петров П.П.</w:t>
            </w:r>
            <w:r>
              <w:br/>
            </w:r>
            <w:r>
              <w:br/>
            </w:r>
            <w:r>
              <w:br/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40"/>
      </w:pPr>
    </w:pPrDefault>
  </w:docDefaults>
  <w:style w:type="character" w:styleId="ActFont">
    <w:name w:val="ActFont"/>
    <w:qFormat/>
    <w:rPr>
      <w:b/>
      <w:bCs/>
      <w:spacing w:val="20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