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4F3" w:rsidRPr="00040F26" w:rsidRDefault="0006312D" w:rsidP="003674F3">
      <w:pPr>
        <w:rPr>
          <w:rFonts w:cstheme="minorHAnsi"/>
          <w:b/>
          <w:lang w:val="en-US"/>
        </w:rPr>
      </w:pPr>
      <w:r w:rsidRPr="00040F26">
        <w:rPr>
          <w:rFonts w:cstheme="minorHAnsi"/>
          <w:b/>
          <w:lang w:val="en-US"/>
        </w:rPr>
        <w:t>Confidential</w:t>
      </w:r>
    </w:p>
    <w:p w:rsidR="003674F3" w:rsidRPr="00040F26" w:rsidRDefault="0006312D" w:rsidP="003674F3">
      <w:pPr>
        <w:rPr>
          <w:rFonts w:cstheme="minorHAnsi"/>
          <w:b/>
          <w:lang w:val="en-US"/>
        </w:rPr>
      </w:pPr>
      <w:r w:rsidRPr="00040F26">
        <w:rPr>
          <w:rFonts w:cstheme="minorHAnsi"/>
          <w:b/>
          <w:lang w:val="en-US"/>
        </w:rPr>
        <w:t>February</w:t>
      </w:r>
      <w:r w:rsidR="003674F3" w:rsidRPr="00040F26">
        <w:rPr>
          <w:rFonts w:cstheme="minorHAnsi"/>
          <w:b/>
          <w:lang w:val="en-US"/>
        </w:rPr>
        <w:t xml:space="preserve"> 2018</w:t>
      </w:r>
    </w:p>
    <w:p w:rsidR="00E17D3B" w:rsidRPr="00040F26" w:rsidRDefault="0006312D" w:rsidP="00E17D3B">
      <w:pPr>
        <w:jc w:val="center"/>
        <w:rPr>
          <w:rFonts w:cstheme="minorHAnsi"/>
          <w:b/>
          <w:lang w:val="en-US"/>
        </w:rPr>
      </w:pPr>
      <w:proofErr w:type="spellStart"/>
      <w:r w:rsidRPr="00040F26">
        <w:rPr>
          <w:rFonts w:cstheme="minorHAnsi"/>
          <w:b/>
          <w:lang w:val="en-US"/>
        </w:rPr>
        <w:t>Wealth</w:t>
      </w:r>
      <w:r w:rsidR="00E96DFD" w:rsidRPr="00040F26">
        <w:rPr>
          <w:rFonts w:cstheme="minorHAnsi"/>
          <w:b/>
          <w:lang w:val="en-US"/>
        </w:rPr>
        <w:t>m</w:t>
      </w:r>
      <w:r w:rsidR="00E17D3B" w:rsidRPr="00040F26">
        <w:rPr>
          <w:rFonts w:cstheme="minorHAnsi"/>
          <w:b/>
          <w:lang w:val="en-US"/>
        </w:rPr>
        <w:t>an</w:t>
      </w:r>
      <w:proofErr w:type="spellEnd"/>
      <w:r w:rsidRPr="00040F26">
        <w:rPr>
          <w:rFonts w:cstheme="minorHAnsi"/>
          <w:b/>
          <w:lang w:val="en-US"/>
        </w:rPr>
        <w:t>. Private placement.</w:t>
      </w:r>
    </w:p>
    <w:p w:rsidR="00E17D3B" w:rsidRPr="00040F26" w:rsidRDefault="00E17D3B" w:rsidP="00E17D3B">
      <w:pPr>
        <w:rPr>
          <w:rFonts w:cs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5"/>
        <w:gridCol w:w="7926"/>
      </w:tblGrid>
      <w:tr w:rsidR="00E17D3B" w:rsidRPr="00040F26" w:rsidTr="00077425">
        <w:tc>
          <w:tcPr>
            <w:tcW w:w="2830" w:type="dxa"/>
          </w:tcPr>
          <w:p w:rsidR="00E17D3B" w:rsidRPr="00040F26" w:rsidRDefault="0006312D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Industry</w:t>
            </w:r>
          </w:p>
          <w:p w:rsidR="00E17D3B" w:rsidRPr="00040F26" w:rsidRDefault="00E17D3B" w:rsidP="00077425">
            <w:pPr>
              <w:rPr>
                <w:rFonts w:cstheme="minorHAnsi"/>
                <w:b/>
              </w:rPr>
            </w:pPr>
          </w:p>
        </w:tc>
        <w:tc>
          <w:tcPr>
            <w:tcW w:w="6515" w:type="dxa"/>
          </w:tcPr>
          <w:p w:rsidR="00E17D3B" w:rsidRPr="00040F26" w:rsidRDefault="0006312D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Wealth Management</w:t>
            </w:r>
          </w:p>
        </w:tc>
      </w:tr>
      <w:tr w:rsidR="00E17D3B" w:rsidRPr="00040F26" w:rsidTr="00077425">
        <w:tc>
          <w:tcPr>
            <w:tcW w:w="2830" w:type="dxa"/>
          </w:tcPr>
          <w:p w:rsidR="00E17D3B" w:rsidRPr="00040F26" w:rsidRDefault="0006312D" w:rsidP="00077425">
            <w:pPr>
              <w:rPr>
                <w:rFonts w:cstheme="minorHAnsi"/>
                <w:b/>
              </w:rPr>
            </w:pPr>
            <w:r w:rsidRPr="00040F26">
              <w:rPr>
                <w:rFonts w:cstheme="minorHAnsi"/>
                <w:b/>
                <w:lang w:val="en-US"/>
              </w:rPr>
              <w:t>Name</w:t>
            </w:r>
            <w:r w:rsidR="00E17D3B" w:rsidRPr="00040F26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515" w:type="dxa"/>
          </w:tcPr>
          <w:p w:rsidR="009E244C" w:rsidRPr="00040F26" w:rsidRDefault="009E244C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WEALTHMAN</w:t>
            </w:r>
          </w:p>
          <w:p w:rsidR="00E17D3B" w:rsidRPr="00040F26" w:rsidRDefault="0006312D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Trademark</w:t>
            </w:r>
            <w:r w:rsidR="0030536B" w:rsidRPr="00040F26">
              <w:rPr>
                <w:rFonts w:cstheme="minorHAnsi"/>
                <w:lang w:val="en-US"/>
              </w:rPr>
              <w:t xml:space="preserve"> </w:t>
            </w:r>
            <w:r w:rsidRPr="00040F26">
              <w:rPr>
                <w:rFonts w:cstheme="minorHAnsi"/>
                <w:lang w:val="en-US"/>
              </w:rPr>
              <w:t>belongs to</w:t>
            </w:r>
            <w:r w:rsidR="0030536B" w:rsidRPr="00040F26">
              <w:rPr>
                <w:rFonts w:cstheme="minorHAnsi"/>
                <w:lang w:val="en-US"/>
              </w:rPr>
              <w:t xml:space="preserve"> </w:t>
            </w:r>
            <w:r w:rsidR="009E244C" w:rsidRPr="00040F26">
              <w:rPr>
                <w:rFonts w:cstheme="minorHAnsi"/>
                <w:lang w:val="en-US"/>
              </w:rPr>
              <w:t xml:space="preserve">Mera Capital Wealth Management Ltd., </w:t>
            </w:r>
            <w:r w:rsidRPr="00040F26">
              <w:rPr>
                <w:rFonts w:cstheme="minorHAnsi"/>
                <w:lang w:val="en-US"/>
              </w:rPr>
              <w:t>Russia</w:t>
            </w:r>
          </w:p>
          <w:p w:rsidR="00067657" w:rsidRPr="00040F26" w:rsidRDefault="00067657" w:rsidP="00077425">
            <w:pPr>
              <w:rPr>
                <w:rFonts w:cstheme="minorHAnsi"/>
                <w:lang w:val="en-US"/>
              </w:rPr>
            </w:pPr>
          </w:p>
        </w:tc>
      </w:tr>
      <w:tr w:rsidR="00E17D3B" w:rsidRPr="00040F26" w:rsidTr="00077425">
        <w:tc>
          <w:tcPr>
            <w:tcW w:w="2830" w:type="dxa"/>
          </w:tcPr>
          <w:p w:rsidR="00E17D3B" w:rsidRPr="00040F26" w:rsidRDefault="0006312D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Proposal</w:t>
            </w:r>
          </w:p>
        </w:tc>
        <w:tc>
          <w:tcPr>
            <w:tcW w:w="6515" w:type="dxa"/>
          </w:tcPr>
          <w:p w:rsidR="009B1C58" w:rsidRPr="00040F26" w:rsidRDefault="0006312D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The company is planning to raise</w:t>
            </w:r>
            <w:r w:rsidR="0030536B" w:rsidRPr="00040F26">
              <w:rPr>
                <w:rFonts w:cstheme="minorHAnsi"/>
                <w:lang w:val="en-US"/>
              </w:rPr>
              <w:t xml:space="preserve"> </w:t>
            </w:r>
            <w:r w:rsidRPr="00040F26">
              <w:rPr>
                <w:rFonts w:cstheme="minorHAnsi"/>
                <w:b/>
                <w:lang w:val="en-US"/>
              </w:rPr>
              <w:t>$</w:t>
            </w:r>
            <w:r w:rsidR="0030536B" w:rsidRPr="00040F26">
              <w:rPr>
                <w:rFonts w:cstheme="minorHAnsi"/>
                <w:b/>
                <w:lang w:val="en-US"/>
              </w:rPr>
              <w:t>600</w:t>
            </w:r>
            <w:r w:rsidRPr="00040F26">
              <w:rPr>
                <w:rFonts w:cstheme="minorHAnsi"/>
                <w:b/>
                <w:lang w:val="en-US"/>
              </w:rPr>
              <w:t> </w:t>
            </w:r>
            <w:r w:rsidR="0030536B" w:rsidRPr="00040F26">
              <w:rPr>
                <w:rFonts w:cstheme="minorHAnsi"/>
                <w:b/>
                <w:lang w:val="en-US"/>
              </w:rPr>
              <w:t>000</w:t>
            </w:r>
            <w:r w:rsidRPr="00040F26">
              <w:rPr>
                <w:rFonts w:cstheme="minorHAnsi"/>
                <w:b/>
                <w:lang w:val="en-US"/>
              </w:rPr>
              <w:t xml:space="preserve"> </w:t>
            </w:r>
            <w:r w:rsidRPr="00040F26">
              <w:rPr>
                <w:rFonts w:cstheme="minorHAnsi"/>
                <w:lang w:val="en-US"/>
              </w:rPr>
              <w:t>during the private placement of</w:t>
            </w:r>
            <w:r w:rsidR="009E244C" w:rsidRPr="00040F26">
              <w:rPr>
                <w:rFonts w:cstheme="minorHAnsi"/>
                <w:lang w:val="en-US"/>
              </w:rPr>
              <w:t xml:space="preserve"> </w:t>
            </w:r>
            <w:r w:rsidR="0030536B" w:rsidRPr="00040F26">
              <w:rPr>
                <w:rFonts w:cstheme="minorHAnsi"/>
                <w:lang w:val="en-US"/>
              </w:rPr>
              <w:t>AWM</w:t>
            </w:r>
            <w:r w:rsidRPr="00040F26">
              <w:rPr>
                <w:rFonts w:cstheme="minorHAnsi"/>
                <w:lang w:val="en-US"/>
              </w:rPr>
              <w:t xml:space="preserve"> tokens</w:t>
            </w:r>
            <w:r w:rsidR="00AF4306" w:rsidRPr="00040F26">
              <w:rPr>
                <w:rFonts w:cstheme="minorHAnsi"/>
                <w:lang w:val="en-US"/>
              </w:rPr>
              <w:t>.</w:t>
            </w:r>
            <w:r w:rsidRPr="00040F26">
              <w:rPr>
                <w:rFonts w:cstheme="minorHAnsi"/>
                <w:lang w:val="en-US"/>
              </w:rPr>
              <w:t xml:space="preserve"> The funds will be used for the development of the beta version of the platform, and advertising of the public placement of tokens</w:t>
            </w:r>
            <w:r w:rsidR="0030536B" w:rsidRPr="00040F26">
              <w:rPr>
                <w:rFonts w:cstheme="minorHAnsi"/>
                <w:lang w:val="en-US"/>
              </w:rPr>
              <w:t xml:space="preserve">. </w:t>
            </w:r>
          </w:p>
          <w:p w:rsidR="00E17D3B" w:rsidRPr="00040F26" w:rsidRDefault="0006312D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With this amount of </w:t>
            </w:r>
            <w:r w:rsidR="00E96DFD" w:rsidRPr="00040F26">
              <w:rPr>
                <w:rFonts w:cstheme="minorHAnsi"/>
                <w:lang w:val="en-US"/>
              </w:rPr>
              <w:t>investment,</w:t>
            </w:r>
            <w:r w:rsidRPr="00040F26">
              <w:rPr>
                <w:rFonts w:cstheme="minorHAnsi"/>
                <w:lang w:val="en-US"/>
              </w:rPr>
              <w:t xml:space="preserve"> the platform will be finished in 3 months; its services will be ready for serving clients; the project will get fully ready for pre</w:t>
            </w:r>
            <w:r w:rsidR="00E96DFD" w:rsidRPr="00040F26">
              <w:rPr>
                <w:rFonts w:cstheme="minorHAnsi"/>
                <w:lang w:val="en-US"/>
              </w:rPr>
              <w:t>-</w:t>
            </w:r>
            <w:r w:rsidRPr="00040F26">
              <w:rPr>
                <w:rFonts w:cstheme="minorHAnsi"/>
                <w:lang w:val="en-US"/>
              </w:rPr>
              <w:t>ICO.</w:t>
            </w:r>
          </w:p>
        </w:tc>
      </w:tr>
      <w:tr w:rsidR="00E17D3B" w:rsidRPr="00040F26" w:rsidTr="00077425">
        <w:trPr>
          <w:trHeight w:val="9165"/>
        </w:trPr>
        <w:tc>
          <w:tcPr>
            <w:tcW w:w="2830" w:type="dxa"/>
          </w:tcPr>
          <w:p w:rsidR="00E17D3B" w:rsidRPr="00040F26" w:rsidRDefault="009F0B86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Project description</w:t>
            </w: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E5744F" w:rsidRPr="00040F26" w:rsidRDefault="00E5744F" w:rsidP="00077425">
            <w:pPr>
              <w:rPr>
                <w:rFonts w:cstheme="minorHAnsi"/>
                <w:b/>
                <w:lang w:val="en-US"/>
              </w:rPr>
            </w:pPr>
          </w:p>
          <w:p w:rsidR="008205ED" w:rsidRPr="00040F26" w:rsidRDefault="008205ED" w:rsidP="000774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6515" w:type="dxa"/>
          </w:tcPr>
          <w:p w:rsidR="00E04121" w:rsidRPr="00040F26" w:rsidRDefault="00E04121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WEALTHMAN </w:t>
            </w:r>
            <w:r w:rsidR="00BF3587" w:rsidRPr="00040F26">
              <w:rPr>
                <w:rFonts w:cstheme="minorHAnsi"/>
                <w:lang w:val="en-US"/>
              </w:rPr>
              <w:t>was founded by Mera Capital Group</w:t>
            </w:r>
            <w:r w:rsidRPr="00040F26">
              <w:rPr>
                <w:rFonts w:cstheme="minorHAnsi"/>
                <w:lang w:val="en-US"/>
              </w:rPr>
              <w:t>.</w:t>
            </w:r>
            <w:r w:rsidR="00BF3587" w:rsidRPr="00040F26">
              <w:rPr>
                <w:rFonts w:cstheme="minorHAnsi"/>
                <w:lang w:val="en-US"/>
              </w:rPr>
              <w:t xml:space="preserve"> The members of the team are experienced in capital management for</w:t>
            </w:r>
            <w:r w:rsidRPr="00040F26">
              <w:rPr>
                <w:rFonts w:cstheme="minorHAnsi"/>
                <w:lang w:val="en-US"/>
              </w:rPr>
              <w:t xml:space="preserve"> UHNWI </w:t>
            </w:r>
            <w:r w:rsidR="00BF3587" w:rsidRPr="00040F26">
              <w:rPr>
                <w:rFonts w:cstheme="minorHAnsi"/>
                <w:lang w:val="en-US"/>
              </w:rPr>
              <w:t>and</w:t>
            </w:r>
            <w:r w:rsidRPr="00040F26">
              <w:rPr>
                <w:rFonts w:cstheme="minorHAnsi"/>
                <w:lang w:val="en-US"/>
              </w:rPr>
              <w:t xml:space="preserve"> HNWI,</w:t>
            </w:r>
            <w:r w:rsidR="00CF19E6" w:rsidRPr="00040F26">
              <w:rPr>
                <w:rFonts w:cstheme="minorHAnsi"/>
                <w:lang w:val="en-US"/>
              </w:rPr>
              <w:t xml:space="preserve"> in</w:t>
            </w:r>
            <w:r w:rsidRPr="00040F26">
              <w:rPr>
                <w:rFonts w:cstheme="minorHAnsi"/>
                <w:lang w:val="en-US"/>
              </w:rPr>
              <w:t xml:space="preserve"> IPO </w:t>
            </w:r>
            <w:r w:rsidR="00BF3587" w:rsidRPr="00040F26">
              <w:rPr>
                <w:rFonts w:cstheme="minorHAnsi"/>
                <w:lang w:val="en-US"/>
              </w:rPr>
              <w:t>and</w:t>
            </w:r>
            <w:r w:rsidRPr="00040F26">
              <w:rPr>
                <w:rFonts w:cstheme="minorHAnsi"/>
                <w:lang w:val="en-US"/>
              </w:rPr>
              <w:t xml:space="preserve"> ICO (</w:t>
            </w:r>
            <w:r w:rsidR="00BF3587" w:rsidRPr="00040F26">
              <w:rPr>
                <w:rFonts w:cstheme="minorHAnsi"/>
                <w:lang w:val="en-US"/>
              </w:rPr>
              <w:t>crypto-asset placement</w:t>
            </w:r>
            <w:r w:rsidRPr="00040F26">
              <w:rPr>
                <w:rFonts w:cstheme="minorHAnsi"/>
                <w:lang w:val="en-US"/>
              </w:rPr>
              <w:t>)</w:t>
            </w:r>
            <w:r w:rsidR="009F0B86" w:rsidRPr="00040F26">
              <w:rPr>
                <w:rFonts w:cstheme="minorHAnsi"/>
                <w:lang w:val="en-US"/>
              </w:rPr>
              <w:t>; the team also includes</w:t>
            </w:r>
            <w:r w:rsidR="000C1E80" w:rsidRPr="00040F26">
              <w:rPr>
                <w:rFonts w:cstheme="minorHAnsi"/>
                <w:lang w:val="en-US"/>
              </w:rPr>
              <w:t xml:space="preserve"> world-class developers</w:t>
            </w:r>
            <w:r w:rsidRPr="00040F26">
              <w:rPr>
                <w:rFonts w:cstheme="minorHAnsi"/>
                <w:lang w:val="en-US"/>
              </w:rPr>
              <w:t>.</w:t>
            </w:r>
          </w:p>
          <w:p w:rsidR="00E22D5C" w:rsidRPr="00040F26" w:rsidRDefault="000C1E80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purpose of</w:t>
            </w:r>
            <w:r w:rsidR="00E04121" w:rsidRPr="00040F26">
              <w:rPr>
                <w:rFonts w:cstheme="minorHAnsi"/>
                <w:b/>
                <w:lang w:val="en-US"/>
              </w:rPr>
              <w:t xml:space="preserve"> WEALTHMAN</w:t>
            </w:r>
            <w:r w:rsidR="009F0B86" w:rsidRPr="00040F26">
              <w:rPr>
                <w:rFonts w:cstheme="minorHAnsi"/>
                <w:lang w:val="en-US"/>
              </w:rPr>
              <w:t xml:space="preserve"> is to</w:t>
            </w:r>
            <w:r w:rsidR="00E04121" w:rsidRPr="00040F26">
              <w:rPr>
                <w:rFonts w:cstheme="minorHAnsi"/>
                <w:lang w:val="en-US"/>
              </w:rPr>
              <w:t xml:space="preserve"> </w:t>
            </w:r>
            <w:r w:rsidR="009F0B86" w:rsidRPr="00040F26">
              <w:rPr>
                <w:rFonts w:cstheme="minorHAnsi"/>
                <w:lang w:val="en-US"/>
              </w:rPr>
              <w:t>create</w:t>
            </w:r>
            <w:r w:rsidRPr="00040F26">
              <w:rPr>
                <w:rFonts w:cstheme="minorHAnsi"/>
                <w:lang w:val="en-US"/>
              </w:rPr>
              <w:t xml:space="preserve"> a decentralized platform that investors will use to entrust their capitals to professional wealth managers; investors will be given the ability to control the security and efficiency of management</w:t>
            </w:r>
            <w:r w:rsidR="001D79B0" w:rsidRPr="00040F26">
              <w:rPr>
                <w:rFonts w:cstheme="minorHAnsi"/>
                <w:lang w:val="en-US"/>
              </w:rPr>
              <w:t xml:space="preserve">. </w:t>
            </w:r>
          </w:p>
          <w:p w:rsidR="00E55F2F" w:rsidRPr="00040F26" w:rsidRDefault="00E55F2F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With the help of the platform, wealth managers will be given </w:t>
            </w:r>
            <w:r w:rsidR="00EC0512" w:rsidRPr="00040F26">
              <w:rPr>
                <w:rFonts w:cstheme="minorHAnsi"/>
                <w:lang w:val="en-US"/>
              </w:rPr>
              <w:t xml:space="preserve">an </w:t>
            </w:r>
            <w:r w:rsidRPr="00040F26">
              <w:rPr>
                <w:rFonts w:cstheme="minorHAnsi"/>
                <w:lang w:val="en-US"/>
              </w:rPr>
              <w:t>o</w:t>
            </w:r>
            <w:r w:rsidR="00EC0512" w:rsidRPr="00040F26">
              <w:rPr>
                <w:rFonts w:cstheme="minorHAnsi"/>
                <w:lang w:val="en-US"/>
              </w:rPr>
              <w:t>pportunity to quickly launch a management business with little costs</w:t>
            </w:r>
            <w:r w:rsidR="00CF19E6" w:rsidRPr="00040F26">
              <w:rPr>
                <w:rFonts w:cstheme="minorHAnsi"/>
                <w:lang w:val="en-US"/>
              </w:rPr>
              <w:t xml:space="preserve">, </w:t>
            </w:r>
            <w:r w:rsidR="00EC0512" w:rsidRPr="00040F26">
              <w:rPr>
                <w:rFonts w:cstheme="minorHAnsi"/>
                <w:lang w:val="en-US"/>
              </w:rPr>
              <w:t>find clients and</w:t>
            </w:r>
            <w:r w:rsidRPr="00040F26">
              <w:rPr>
                <w:rFonts w:cstheme="minorHAnsi"/>
                <w:lang w:val="en-US"/>
              </w:rPr>
              <w:t xml:space="preserve"> have labor compensation</w:t>
            </w:r>
            <w:r w:rsidR="00EC0512" w:rsidRPr="00040F26">
              <w:rPr>
                <w:rFonts w:cstheme="minorHAnsi"/>
                <w:lang w:val="en-US"/>
              </w:rPr>
              <w:t xml:space="preserve"> guaranteed</w:t>
            </w:r>
            <w:r w:rsidRPr="00040F26">
              <w:rPr>
                <w:rFonts w:cstheme="minorHAnsi"/>
                <w:lang w:val="en-US"/>
              </w:rPr>
              <w:t>.</w:t>
            </w:r>
          </w:p>
          <w:p w:rsidR="00F87FE8" w:rsidRPr="00040F26" w:rsidRDefault="00F87FE8" w:rsidP="00077425">
            <w:pPr>
              <w:rPr>
                <w:rFonts w:cstheme="minorHAnsi"/>
                <w:b/>
                <w:lang w:val="en-US"/>
              </w:rPr>
            </w:pPr>
          </w:p>
          <w:p w:rsidR="000915DA" w:rsidRPr="00040F26" w:rsidRDefault="00E55F2F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platform provide</w:t>
            </w:r>
            <w:r w:rsidR="00281353" w:rsidRPr="00040F26">
              <w:rPr>
                <w:rFonts w:cstheme="minorHAnsi"/>
                <w:b/>
                <w:lang w:val="en-US"/>
              </w:rPr>
              <w:t>s</w:t>
            </w:r>
            <w:r w:rsidRPr="00040F26">
              <w:rPr>
                <w:rFonts w:cstheme="minorHAnsi"/>
                <w:b/>
                <w:lang w:val="en-US"/>
              </w:rPr>
              <w:t xml:space="preserve"> the following features for wealth managers</w:t>
            </w:r>
            <w:r w:rsidR="000915DA" w:rsidRPr="00040F26">
              <w:rPr>
                <w:rFonts w:cstheme="minorHAnsi"/>
                <w:b/>
                <w:lang w:val="en-US"/>
              </w:rPr>
              <w:t>:</w:t>
            </w:r>
          </w:p>
          <w:p w:rsidR="000915DA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w</w:t>
            </w:r>
            <w:r w:rsidR="00275FE9" w:rsidRPr="00040F26">
              <w:rPr>
                <w:rFonts w:cstheme="minorHAnsi"/>
                <w:lang w:val="en-US"/>
              </w:rPr>
              <w:t>hite-label</w:t>
            </w:r>
            <w:r w:rsidRPr="00040F26">
              <w:rPr>
                <w:rFonts w:cstheme="minorHAnsi"/>
                <w:lang w:val="en-US"/>
              </w:rPr>
              <w:t xml:space="preserve"> interfaces of their</w:t>
            </w:r>
            <w:r w:rsidR="00E55F2F" w:rsidRPr="00040F26">
              <w:rPr>
                <w:rFonts w:cstheme="minorHAnsi"/>
                <w:lang w:val="en-US"/>
              </w:rPr>
              <w:t xml:space="preserve"> client</w:t>
            </w:r>
            <w:r w:rsidRPr="00040F26">
              <w:rPr>
                <w:rFonts w:cstheme="minorHAnsi"/>
                <w:lang w:val="en-US"/>
              </w:rPr>
              <w:t>s</w:t>
            </w:r>
            <w:r w:rsidR="000915DA" w:rsidRPr="00040F26">
              <w:rPr>
                <w:rFonts w:cstheme="minorHAnsi"/>
                <w:lang w:val="en-US"/>
              </w:rPr>
              <w:t>,</w:t>
            </w:r>
          </w:p>
          <w:p w:rsidR="000915DA" w:rsidRPr="00040F26" w:rsidRDefault="00E55F2F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Promotion of services of </w:t>
            </w:r>
            <w:r w:rsidR="00CF19E6" w:rsidRPr="00040F26">
              <w:rPr>
                <w:rFonts w:cstheme="minorHAnsi"/>
                <w:lang w:val="en-US"/>
              </w:rPr>
              <w:t xml:space="preserve">wealth </w:t>
            </w:r>
            <w:r w:rsidRPr="00040F26">
              <w:rPr>
                <w:rFonts w:cstheme="minorHAnsi"/>
                <w:lang w:val="en-US"/>
              </w:rPr>
              <w:t>manager</w:t>
            </w:r>
            <w:r w:rsidR="00CF19E6" w:rsidRPr="00040F26">
              <w:rPr>
                <w:rFonts w:cstheme="minorHAnsi"/>
                <w:lang w:val="en-US"/>
              </w:rPr>
              <w:t>s</w:t>
            </w:r>
            <w:r w:rsidRPr="00040F26">
              <w:rPr>
                <w:rFonts w:cstheme="minorHAnsi"/>
                <w:lang w:val="en-US"/>
              </w:rPr>
              <w:t xml:space="preserve"> to their client</w:t>
            </w:r>
            <w:r w:rsidR="000915DA" w:rsidRPr="00040F26">
              <w:rPr>
                <w:rFonts w:cstheme="minorHAnsi"/>
                <w:lang w:val="en-US"/>
              </w:rPr>
              <w:t>,</w:t>
            </w:r>
          </w:p>
          <w:p w:rsidR="00B33435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An e</w:t>
            </w:r>
            <w:r w:rsidR="00E55F2F" w:rsidRPr="00040F26">
              <w:rPr>
                <w:rFonts w:cstheme="minorHAnsi"/>
                <w:lang w:val="en-US"/>
              </w:rPr>
              <w:t>nvironment for</w:t>
            </w:r>
            <w:r w:rsidRPr="00040F26">
              <w:rPr>
                <w:rFonts w:cstheme="minorHAnsi"/>
                <w:lang w:val="en-US"/>
              </w:rPr>
              <w:t xml:space="preserve"> software</w:t>
            </w:r>
            <w:r w:rsidR="00E55F2F" w:rsidRPr="00040F26">
              <w:rPr>
                <w:rFonts w:cstheme="minorHAnsi"/>
                <w:lang w:val="en-US"/>
              </w:rPr>
              <w:t xml:space="preserve"> development</w:t>
            </w:r>
            <w:r w:rsidRPr="00040F26">
              <w:rPr>
                <w:rFonts w:cstheme="minorHAnsi"/>
                <w:lang w:val="en-US"/>
              </w:rPr>
              <w:t>,</w:t>
            </w:r>
            <w:r w:rsidR="00E55F2F" w:rsidRPr="00040F26">
              <w:rPr>
                <w:rFonts w:cstheme="minorHAnsi"/>
                <w:lang w:val="en-US"/>
              </w:rPr>
              <w:t xml:space="preserve"> and </w:t>
            </w:r>
            <w:r w:rsidRPr="00040F26">
              <w:rPr>
                <w:rFonts w:cstheme="minorHAnsi"/>
                <w:lang w:val="en-US"/>
              </w:rPr>
              <w:t xml:space="preserve">a </w:t>
            </w:r>
            <w:r w:rsidR="00E55F2F" w:rsidRPr="00040F26">
              <w:rPr>
                <w:rFonts w:cstheme="minorHAnsi"/>
                <w:lang w:val="en-US"/>
              </w:rPr>
              <w:t>decentralized envir</w:t>
            </w:r>
            <w:r w:rsidR="00F87FE8" w:rsidRPr="00040F26">
              <w:rPr>
                <w:rFonts w:cstheme="minorHAnsi"/>
                <w:lang w:val="en-US"/>
              </w:rPr>
              <w:t>onment for execution of asset-management services</w:t>
            </w:r>
            <w:r w:rsidR="00275FE9" w:rsidRPr="00040F26">
              <w:rPr>
                <w:rFonts w:cstheme="minorHAnsi"/>
                <w:lang w:val="en-US"/>
              </w:rPr>
              <w:t xml:space="preserve">. </w:t>
            </w:r>
          </w:p>
          <w:p w:rsidR="00B33435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m</w:t>
            </w:r>
            <w:r w:rsidR="00F87FE8" w:rsidRPr="00040F26">
              <w:rPr>
                <w:rFonts w:cstheme="minorHAnsi"/>
                <w:lang w:val="en-US"/>
              </w:rPr>
              <w:t>arketplace of various data sources</w:t>
            </w:r>
            <w:r w:rsidR="00EE7C05" w:rsidRPr="00040F26">
              <w:rPr>
                <w:rFonts w:cstheme="minorHAnsi"/>
                <w:lang w:val="en-US"/>
              </w:rPr>
              <w:t>,</w:t>
            </w:r>
            <w:r w:rsidR="00B33435" w:rsidRPr="00040F26">
              <w:rPr>
                <w:rFonts w:cstheme="minorHAnsi"/>
                <w:lang w:val="en-US"/>
              </w:rPr>
              <w:t xml:space="preserve"> </w:t>
            </w:r>
          </w:p>
          <w:p w:rsidR="003F24EF" w:rsidRPr="00040F26" w:rsidRDefault="00F87FE8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</w:rPr>
            </w:pPr>
            <w:r w:rsidRPr="00040F26">
              <w:rPr>
                <w:rFonts w:cstheme="minorHAnsi"/>
                <w:lang w:val="en-US"/>
              </w:rPr>
              <w:t>Reports</w:t>
            </w:r>
            <w:r w:rsidR="003F24EF" w:rsidRPr="00040F26">
              <w:rPr>
                <w:rFonts w:cstheme="minorHAnsi"/>
              </w:rPr>
              <w:t>.</w:t>
            </w:r>
          </w:p>
          <w:p w:rsidR="00B33435" w:rsidRPr="00040F26" w:rsidRDefault="00B33435" w:rsidP="00077425">
            <w:pPr>
              <w:rPr>
                <w:rFonts w:cstheme="minorHAnsi"/>
              </w:rPr>
            </w:pPr>
          </w:p>
          <w:p w:rsidR="000915DA" w:rsidRPr="00040F26" w:rsidRDefault="00F87FE8" w:rsidP="00077425">
            <w:pPr>
              <w:ind w:left="743"/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 xml:space="preserve">Types of services that a wealth manager can provide </w:t>
            </w:r>
            <w:r w:rsidR="00281353" w:rsidRPr="00040F26">
              <w:rPr>
                <w:rFonts w:cstheme="minorHAnsi"/>
                <w:b/>
                <w:lang w:val="en-US"/>
              </w:rPr>
              <w:t>via</w:t>
            </w:r>
            <w:r w:rsidRPr="00040F26">
              <w:rPr>
                <w:rFonts w:cstheme="minorHAnsi"/>
                <w:b/>
                <w:lang w:val="en-US"/>
              </w:rPr>
              <w:t xml:space="preserve"> the platform</w:t>
            </w:r>
            <w:r w:rsidR="00275FE9" w:rsidRPr="00040F26">
              <w:rPr>
                <w:rFonts w:cstheme="minorHAnsi"/>
                <w:b/>
                <w:lang w:val="en-US"/>
              </w:rPr>
              <w:t>:</w:t>
            </w:r>
          </w:p>
          <w:p w:rsidR="00275FE9" w:rsidRPr="00040F26" w:rsidRDefault="00275FE9" w:rsidP="00077425">
            <w:pPr>
              <w:ind w:left="74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- Advisory asset management, </w:t>
            </w:r>
          </w:p>
          <w:p w:rsidR="00275FE9" w:rsidRPr="00040F26" w:rsidRDefault="00275FE9" w:rsidP="00077425">
            <w:pPr>
              <w:ind w:left="74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 Discretionary asset management,</w:t>
            </w:r>
          </w:p>
          <w:p w:rsidR="00275FE9" w:rsidRPr="00040F26" w:rsidRDefault="00275FE9" w:rsidP="00077425">
            <w:pPr>
              <w:ind w:left="74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040F26">
              <w:rPr>
                <w:rFonts w:cstheme="minorHAnsi"/>
                <w:lang w:val="en-US"/>
              </w:rPr>
              <w:t>Robo</w:t>
            </w:r>
            <w:proofErr w:type="spellEnd"/>
            <w:r w:rsidRPr="00040F26">
              <w:rPr>
                <w:rFonts w:cstheme="minorHAnsi"/>
                <w:lang w:val="en-US"/>
              </w:rPr>
              <w:t>-advisor</w:t>
            </w:r>
            <w:r w:rsidR="00EC0512" w:rsidRPr="00040F26">
              <w:rPr>
                <w:rFonts w:cstheme="minorHAnsi"/>
                <w:lang w:val="en-US"/>
              </w:rPr>
              <w:t>s</w:t>
            </w:r>
            <w:r w:rsidRPr="00040F26">
              <w:rPr>
                <w:rFonts w:cstheme="minorHAnsi"/>
                <w:lang w:val="en-US"/>
              </w:rPr>
              <w:t>.</w:t>
            </w:r>
          </w:p>
          <w:p w:rsidR="0039656B" w:rsidRPr="00040F26" w:rsidRDefault="0039656B" w:rsidP="00077425">
            <w:pPr>
              <w:rPr>
                <w:rFonts w:cstheme="minorHAnsi"/>
                <w:lang w:val="en-US"/>
              </w:rPr>
            </w:pPr>
          </w:p>
          <w:p w:rsidR="00B33435" w:rsidRPr="00040F26" w:rsidRDefault="00F87FE8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platform provide</w:t>
            </w:r>
            <w:r w:rsidR="00281353" w:rsidRPr="00040F26">
              <w:rPr>
                <w:rFonts w:cstheme="minorHAnsi"/>
                <w:b/>
                <w:lang w:val="en-US"/>
              </w:rPr>
              <w:t>s</w:t>
            </w:r>
            <w:r w:rsidRPr="00040F26">
              <w:rPr>
                <w:rFonts w:cstheme="minorHAnsi"/>
                <w:b/>
                <w:lang w:val="en-US"/>
              </w:rPr>
              <w:t xml:space="preserve"> the following features for investors</w:t>
            </w:r>
            <w:r w:rsidR="003F24EF" w:rsidRPr="00040F26">
              <w:rPr>
                <w:rFonts w:cstheme="minorHAnsi"/>
                <w:b/>
                <w:lang w:val="en-US"/>
              </w:rPr>
              <w:t>:</w:t>
            </w:r>
          </w:p>
          <w:p w:rsidR="0027592D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u</w:t>
            </w:r>
            <w:r w:rsidR="00F87FE8" w:rsidRPr="00040F26">
              <w:rPr>
                <w:rFonts w:cstheme="minorHAnsi"/>
                <w:lang w:val="en-US"/>
              </w:rPr>
              <w:t xml:space="preserve">ser-friendly interface with multiple-criteria selection of wealth managers or </w:t>
            </w:r>
            <w:proofErr w:type="spellStart"/>
            <w:r w:rsidR="00F87FE8" w:rsidRPr="00040F26">
              <w:rPr>
                <w:rFonts w:cstheme="minorHAnsi"/>
                <w:lang w:val="en-US"/>
              </w:rPr>
              <w:t>robo</w:t>
            </w:r>
            <w:proofErr w:type="spellEnd"/>
            <w:r w:rsidR="00F87FE8" w:rsidRPr="00040F26">
              <w:rPr>
                <w:rFonts w:cstheme="minorHAnsi"/>
                <w:lang w:val="en-US"/>
              </w:rPr>
              <w:t>-advisors</w:t>
            </w:r>
            <w:r w:rsidRPr="00040F26">
              <w:rPr>
                <w:rFonts w:cstheme="minorHAnsi"/>
                <w:lang w:val="en-US"/>
              </w:rPr>
              <w:t>,</w:t>
            </w:r>
          </w:p>
          <w:p w:rsidR="0027592D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u</w:t>
            </w:r>
            <w:r w:rsidR="00F87FE8" w:rsidRPr="00040F26">
              <w:rPr>
                <w:rFonts w:cstheme="minorHAnsi"/>
                <w:lang w:val="en-US"/>
              </w:rPr>
              <w:t>nique ranking</w:t>
            </w:r>
            <w:r w:rsidRPr="00040F26">
              <w:rPr>
                <w:rFonts w:cstheme="minorHAnsi"/>
                <w:lang w:val="en-US"/>
              </w:rPr>
              <w:t xml:space="preserve"> system</w:t>
            </w:r>
            <w:r w:rsidR="00F87FE8" w:rsidRPr="00040F26">
              <w:rPr>
                <w:rFonts w:cstheme="minorHAnsi"/>
                <w:lang w:val="en-US"/>
              </w:rPr>
              <w:t xml:space="preserve"> </w:t>
            </w:r>
            <w:r w:rsidR="00DC22F2" w:rsidRPr="00040F26">
              <w:rPr>
                <w:rFonts w:cstheme="minorHAnsi"/>
                <w:lang w:val="en-US"/>
              </w:rPr>
              <w:t>based on efficiency of a manager or a robo-advisor</w:t>
            </w:r>
            <w:r w:rsidR="0027592D" w:rsidRPr="00040F26">
              <w:rPr>
                <w:rFonts w:cstheme="minorHAnsi"/>
                <w:lang w:val="en-US"/>
              </w:rPr>
              <w:t xml:space="preserve">, </w:t>
            </w:r>
          </w:p>
          <w:p w:rsidR="003F24EF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d</w:t>
            </w:r>
            <w:r w:rsidR="00DC22F2" w:rsidRPr="00040F26">
              <w:rPr>
                <w:rFonts w:cstheme="minorHAnsi"/>
                <w:lang w:val="en-US"/>
              </w:rPr>
              <w:t xml:space="preserve">ecentralized environment for execution of </w:t>
            </w:r>
            <w:r w:rsidRPr="00040F26">
              <w:rPr>
                <w:rFonts w:cstheme="minorHAnsi"/>
                <w:lang w:val="en-US"/>
              </w:rPr>
              <w:t>transactions</w:t>
            </w:r>
            <w:r w:rsidR="003F24EF" w:rsidRPr="00040F26">
              <w:rPr>
                <w:rFonts w:cstheme="minorHAnsi"/>
                <w:lang w:val="en-US"/>
              </w:rPr>
              <w:t>,</w:t>
            </w:r>
          </w:p>
          <w:p w:rsidR="00EE7C05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g</w:t>
            </w:r>
            <w:r w:rsidR="00DC22F2" w:rsidRPr="00040F26">
              <w:rPr>
                <w:rFonts w:cstheme="minorHAnsi"/>
                <w:lang w:val="en-US"/>
              </w:rPr>
              <w:t xml:space="preserve">uarantee of uninterrupted and </w:t>
            </w:r>
            <w:r w:rsidRPr="00040F26">
              <w:rPr>
                <w:rFonts w:cstheme="minorHAnsi"/>
                <w:lang w:val="en-US"/>
              </w:rPr>
              <w:t>accurate</w:t>
            </w:r>
            <w:r w:rsidR="00DC22F2" w:rsidRPr="00040F26">
              <w:rPr>
                <w:rFonts w:cstheme="minorHAnsi"/>
                <w:lang w:val="en-US"/>
              </w:rPr>
              <w:t xml:space="preserve"> data (in </w:t>
            </w:r>
            <w:proofErr w:type="spellStart"/>
            <w:r w:rsidR="00DC22F2" w:rsidRPr="00040F26">
              <w:rPr>
                <w:rFonts w:cstheme="minorHAnsi"/>
                <w:lang w:val="en-US"/>
              </w:rPr>
              <w:t>robo</w:t>
            </w:r>
            <w:proofErr w:type="spellEnd"/>
            <w:r w:rsidR="00DC22F2" w:rsidRPr="00040F26">
              <w:rPr>
                <w:rFonts w:cstheme="minorHAnsi"/>
                <w:lang w:val="en-US"/>
              </w:rPr>
              <w:t>-advisor mode)</w:t>
            </w:r>
            <w:r w:rsidR="00EE7C05" w:rsidRPr="00040F26">
              <w:rPr>
                <w:rFonts w:cstheme="minorHAnsi"/>
                <w:lang w:val="en-US"/>
              </w:rPr>
              <w:t>,</w:t>
            </w:r>
          </w:p>
          <w:p w:rsidR="003F24EF" w:rsidRPr="00040F26" w:rsidRDefault="00DC22F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</w:rPr>
            </w:pPr>
            <w:r w:rsidRPr="00040F26">
              <w:rPr>
                <w:rFonts w:cstheme="minorHAnsi"/>
                <w:lang w:val="en-US"/>
              </w:rPr>
              <w:t>Reports</w:t>
            </w:r>
            <w:r w:rsidR="003F24EF" w:rsidRPr="00040F26">
              <w:rPr>
                <w:rFonts w:cstheme="minorHAnsi"/>
              </w:rPr>
              <w:t>.</w:t>
            </w:r>
          </w:p>
          <w:p w:rsidR="00EE7C05" w:rsidRPr="00040F26" w:rsidRDefault="00EE7C05" w:rsidP="00077425">
            <w:pPr>
              <w:pStyle w:val="a3"/>
              <w:rPr>
                <w:rFonts w:cstheme="minorHAnsi"/>
              </w:rPr>
            </w:pPr>
          </w:p>
          <w:p w:rsidR="00B33435" w:rsidRPr="00040F26" w:rsidRDefault="002E48F8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platform provide</w:t>
            </w:r>
            <w:r w:rsidR="00281353" w:rsidRPr="00040F26">
              <w:rPr>
                <w:rFonts w:cstheme="minorHAnsi"/>
                <w:b/>
                <w:lang w:val="en-US"/>
              </w:rPr>
              <w:t>s</w:t>
            </w:r>
            <w:r w:rsidRPr="00040F26">
              <w:rPr>
                <w:rFonts w:cstheme="minorHAnsi"/>
                <w:b/>
                <w:lang w:val="en-US"/>
              </w:rPr>
              <w:t xml:space="preserve"> the following features for </w:t>
            </w:r>
            <w:r w:rsidR="00281353" w:rsidRPr="00040F26">
              <w:rPr>
                <w:rFonts w:cstheme="minorHAnsi"/>
                <w:b/>
                <w:lang w:val="en-US"/>
              </w:rPr>
              <w:t>other interested parties</w:t>
            </w:r>
            <w:r w:rsidR="00B33435" w:rsidRPr="00040F26">
              <w:rPr>
                <w:rFonts w:cstheme="minorHAnsi"/>
                <w:b/>
                <w:lang w:val="en-US"/>
              </w:rPr>
              <w:t xml:space="preserve">: </w:t>
            </w:r>
          </w:p>
          <w:p w:rsidR="00C22AF3" w:rsidRPr="00040F26" w:rsidRDefault="00EC0512" w:rsidP="002E48F8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m</w:t>
            </w:r>
            <w:r w:rsidR="002E48F8" w:rsidRPr="00040F26">
              <w:rPr>
                <w:rFonts w:cstheme="minorHAnsi"/>
                <w:lang w:val="en-US"/>
              </w:rPr>
              <w:t>arketplace of various data sources and insurance of data sources,</w:t>
            </w:r>
          </w:p>
          <w:p w:rsidR="0039656B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d</w:t>
            </w:r>
            <w:r w:rsidR="002E48F8" w:rsidRPr="00040F26">
              <w:rPr>
                <w:rFonts w:cstheme="minorHAnsi"/>
                <w:lang w:val="en-US"/>
              </w:rPr>
              <w:t>ecentralized stock for crypto-assets</w:t>
            </w:r>
            <w:r w:rsidR="00C22AF3" w:rsidRPr="00040F26">
              <w:rPr>
                <w:rFonts w:cstheme="minorHAnsi"/>
                <w:lang w:val="en-US"/>
              </w:rPr>
              <w:t>.</w:t>
            </w:r>
          </w:p>
          <w:p w:rsidR="0039656B" w:rsidRPr="00040F26" w:rsidRDefault="0039656B" w:rsidP="00077425">
            <w:pPr>
              <w:rPr>
                <w:rFonts w:cstheme="minorHAnsi"/>
                <w:lang w:val="en-US"/>
              </w:rPr>
            </w:pPr>
          </w:p>
          <w:p w:rsidR="00E04121" w:rsidRPr="00040F26" w:rsidRDefault="00ED3129" w:rsidP="00077425">
            <w:pPr>
              <w:rPr>
                <w:rFonts w:cstheme="minorHAnsi"/>
                <w:b/>
              </w:rPr>
            </w:pPr>
            <w:r w:rsidRPr="00040F26">
              <w:rPr>
                <w:rFonts w:cstheme="minorHAnsi"/>
                <w:b/>
                <w:lang w:val="en-US"/>
              </w:rPr>
              <w:t>Platform’s unique selling points</w:t>
            </w:r>
            <w:r w:rsidR="00E04121" w:rsidRPr="00040F26">
              <w:rPr>
                <w:rFonts w:cstheme="minorHAnsi"/>
                <w:b/>
              </w:rPr>
              <w:t xml:space="preserve">: </w:t>
            </w:r>
          </w:p>
          <w:p w:rsidR="00E04121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lastRenderedPageBreak/>
              <w:t>A m</w:t>
            </w:r>
            <w:r w:rsidR="00ED3129" w:rsidRPr="00040F26">
              <w:rPr>
                <w:rFonts w:cstheme="minorHAnsi"/>
                <w:lang w:val="en-US"/>
              </w:rPr>
              <w:t xml:space="preserve">uch faster </w:t>
            </w:r>
            <w:r w:rsidRPr="00040F26">
              <w:rPr>
                <w:rFonts w:cstheme="minorHAnsi"/>
                <w:lang w:val="en-US"/>
              </w:rPr>
              <w:t>launching</w:t>
            </w:r>
            <w:r w:rsidR="00ED3129" w:rsidRPr="00040F26">
              <w:rPr>
                <w:rFonts w:cstheme="minorHAnsi"/>
                <w:lang w:val="en-US"/>
              </w:rPr>
              <w:t xml:space="preserve"> of crypto-asset management service</w:t>
            </w:r>
            <w:r w:rsidRPr="00040F26">
              <w:rPr>
                <w:rFonts w:cstheme="minorHAnsi"/>
                <w:lang w:val="en-US"/>
              </w:rPr>
              <w:t>s</w:t>
            </w:r>
            <w:r w:rsidR="00ED3129" w:rsidRPr="00040F26">
              <w:rPr>
                <w:rFonts w:cstheme="minorHAnsi"/>
                <w:lang w:val="en-US"/>
              </w:rPr>
              <w:t xml:space="preserve">, especially </w:t>
            </w:r>
            <w:proofErr w:type="spellStart"/>
            <w:r w:rsidR="00ED3129" w:rsidRPr="00040F26">
              <w:rPr>
                <w:rFonts w:cstheme="minorHAnsi"/>
                <w:lang w:val="en-US"/>
              </w:rPr>
              <w:t>Robo</w:t>
            </w:r>
            <w:proofErr w:type="spellEnd"/>
            <w:r w:rsidR="00ED3129" w:rsidRPr="00040F26">
              <w:rPr>
                <w:rFonts w:cstheme="minorHAnsi"/>
                <w:lang w:val="en-US"/>
              </w:rPr>
              <w:t>-advisory</w:t>
            </w:r>
            <w:r w:rsidR="00E04121" w:rsidRPr="00040F26">
              <w:rPr>
                <w:rFonts w:cstheme="minorHAnsi"/>
                <w:lang w:val="en-US"/>
              </w:rPr>
              <w:t>;</w:t>
            </w:r>
            <w:r w:rsidR="003C3896" w:rsidRPr="00040F26">
              <w:rPr>
                <w:rFonts w:cstheme="minorHAnsi"/>
                <w:lang w:val="en-US"/>
              </w:rPr>
              <w:t xml:space="preserve"> </w:t>
            </w:r>
          </w:p>
          <w:p w:rsidR="00E04121" w:rsidRPr="00040F26" w:rsidRDefault="00EC0512" w:rsidP="00077425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 p</w:t>
            </w:r>
            <w:r w:rsidR="00ED3129" w:rsidRPr="00040F26">
              <w:rPr>
                <w:rFonts w:cstheme="minorHAnsi"/>
                <w:lang w:val="en-US"/>
              </w:rPr>
              <w:t xml:space="preserve">rotection of investors’ assets from malicious or careless actions of wealth managers. </w:t>
            </w:r>
            <w:r w:rsidR="004B7EC2" w:rsidRPr="00040F26">
              <w:rPr>
                <w:rFonts w:cstheme="minorHAnsi"/>
                <w:lang w:val="en-US"/>
              </w:rPr>
              <w:t>Guaranteed labor compensation for wealth managers</w:t>
            </w:r>
            <w:r w:rsidR="00E04121" w:rsidRPr="00040F26">
              <w:rPr>
                <w:rFonts w:cstheme="minorHAnsi"/>
                <w:lang w:val="en-US"/>
              </w:rPr>
              <w:t>;</w:t>
            </w:r>
          </w:p>
          <w:p w:rsidR="00E04121" w:rsidRPr="00040F26" w:rsidRDefault="00EC0512" w:rsidP="004B7EC2">
            <w:pPr>
              <w:pStyle w:val="a3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U</w:t>
            </w:r>
            <w:r w:rsidR="004B7EC2" w:rsidRPr="00040F26">
              <w:rPr>
                <w:rFonts w:cstheme="minorHAnsi"/>
                <w:lang w:val="en-US"/>
              </w:rPr>
              <w:t>ltimate quality of individual wealth management based on blockchain-proven results and management goals</w:t>
            </w:r>
            <w:r w:rsidR="00E04121" w:rsidRPr="00040F26">
              <w:rPr>
                <w:rFonts w:cstheme="minorHAnsi"/>
                <w:lang w:val="en-US"/>
              </w:rPr>
              <w:t>.</w:t>
            </w:r>
          </w:p>
          <w:p w:rsidR="00E22D5C" w:rsidRPr="00040F26" w:rsidRDefault="004B7EC2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Wealthman platform will be especially valuable in situations that suggest </w:t>
            </w:r>
            <w:r w:rsidR="008E7E5D" w:rsidRPr="00040F26">
              <w:rPr>
                <w:rFonts w:cstheme="minorHAnsi"/>
                <w:lang w:val="en-US"/>
              </w:rPr>
              <w:t>lack of trust in: com</w:t>
            </w:r>
            <w:r w:rsidR="00EC0512" w:rsidRPr="00040F26">
              <w:rPr>
                <w:rFonts w:cstheme="minorHAnsi"/>
                <w:lang w:val="en-US"/>
              </w:rPr>
              <w:t>petence and honesty of managers;</w:t>
            </w:r>
            <w:r w:rsidR="008E7E5D" w:rsidRPr="00040F26">
              <w:rPr>
                <w:rFonts w:cstheme="minorHAnsi"/>
                <w:lang w:val="en-US"/>
              </w:rPr>
              <w:t xml:space="preserve"> infrastructure security; when low costs and fast </w:t>
            </w:r>
            <w:r w:rsidR="00FC2FC1" w:rsidRPr="00040F26">
              <w:rPr>
                <w:rFonts w:cstheme="minorHAnsi"/>
                <w:lang w:val="en-US"/>
              </w:rPr>
              <w:t>launch of crypto-asset management business</w:t>
            </w:r>
            <w:r w:rsidR="00EC0512" w:rsidRPr="00040F26">
              <w:rPr>
                <w:rFonts w:cstheme="minorHAnsi"/>
                <w:lang w:val="en-US"/>
              </w:rPr>
              <w:t xml:space="preserve"> are crucial</w:t>
            </w:r>
            <w:r w:rsidR="00FC2FC1" w:rsidRPr="00040F26">
              <w:rPr>
                <w:rFonts w:cstheme="minorHAnsi"/>
                <w:lang w:val="en-US"/>
              </w:rPr>
              <w:t>.</w:t>
            </w:r>
          </w:p>
          <w:p w:rsidR="00AE65FC" w:rsidRPr="00040F26" w:rsidRDefault="00AE65FC" w:rsidP="00077425">
            <w:pPr>
              <w:rPr>
                <w:rFonts w:cstheme="minorHAnsi"/>
                <w:b/>
                <w:lang w:val="en-US"/>
              </w:rPr>
            </w:pPr>
          </w:p>
          <w:p w:rsidR="00D17720" w:rsidRPr="00040F26" w:rsidRDefault="00FC2FC1" w:rsidP="00EC0512">
            <w:pPr>
              <w:jc w:val="both"/>
              <w:rPr>
                <w:rFonts w:cstheme="minorHAnsi"/>
                <w:i/>
                <w:lang w:val="en-US"/>
              </w:rPr>
            </w:pPr>
            <w:r w:rsidRPr="00040F26">
              <w:rPr>
                <w:rFonts w:cstheme="minorHAnsi"/>
                <w:b/>
                <w:i/>
                <w:lang w:val="en-US"/>
              </w:rPr>
              <w:t>An example:</w:t>
            </w:r>
            <w:r w:rsidRPr="00040F26">
              <w:rPr>
                <w:rFonts w:cstheme="minorHAnsi"/>
                <w:i/>
                <w:lang w:val="en-US"/>
              </w:rPr>
              <w:t xml:space="preserve"> Wealthman allows </w:t>
            </w:r>
            <w:r w:rsidR="00EC0512" w:rsidRPr="00040F26">
              <w:rPr>
                <w:rFonts w:cstheme="minorHAnsi"/>
                <w:i/>
                <w:lang w:val="en-US"/>
              </w:rPr>
              <w:t>a</w:t>
            </w:r>
            <w:r w:rsidRPr="00040F26">
              <w:rPr>
                <w:rFonts w:cstheme="minorHAnsi"/>
                <w:i/>
                <w:lang w:val="en-US"/>
              </w:rPr>
              <w:t xml:space="preserve"> bare-bone version of the Betterment.com be programmed in only 90 lines of code; a simple Advisory asset management service can be launched in 15 minutes</w:t>
            </w:r>
            <w:r w:rsidR="00E04121" w:rsidRPr="00040F26">
              <w:rPr>
                <w:rFonts w:cstheme="minorHAnsi"/>
                <w:i/>
                <w:lang w:val="en-US"/>
              </w:rPr>
              <w:t>.</w:t>
            </w:r>
          </w:p>
        </w:tc>
      </w:tr>
      <w:tr w:rsidR="00E04121" w:rsidRPr="00040F26" w:rsidTr="00077425">
        <w:trPr>
          <w:trHeight w:val="8009"/>
        </w:trPr>
        <w:tc>
          <w:tcPr>
            <w:tcW w:w="2830" w:type="dxa"/>
          </w:tcPr>
          <w:p w:rsidR="00E04121" w:rsidRPr="00040F26" w:rsidRDefault="00CE3851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lastRenderedPageBreak/>
              <w:t>Business model</w:t>
            </w: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  <w:p w:rsidR="00E04121" w:rsidRPr="00040F26" w:rsidRDefault="00E04121" w:rsidP="00077425">
            <w:pPr>
              <w:rPr>
                <w:rFonts w:cstheme="minorHAnsi"/>
                <w:b/>
              </w:rPr>
            </w:pPr>
          </w:p>
        </w:tc>
        <w:tc>
          <w:tcPr>
            <w:tcW w:w="6515" w:type="dxa"/>
          </w:tcPr>
          <w:p w:rsidR="0027592D" w:rsidRPr="00040F26" w:rsidRDefault="00E04121" w:rsidP="00077425">
            <w:pPr>
              <w:rPr>
                <w:rFonts w:cstheme="minorHAnsi"/>
                <w:lang w:val="en-US"/>
              </w:rPr>
            </w:pPr>
            <w:proofErr w:type="spellStart"/>
            <w:r w:rsidRPr="00040F26">
              <w:rPr>
                <w:rFonts w:cstheme="minorHAnsi"/>
                <w:lang w:val="en-US"/>
              </w:rPr>
              <w:t>Wealthman</w:t>
            </w:r>
            <w:proofErr w:type="spellEnd"/>
            <w:r w:rsidR="00CE3851" w:rsidRPr="00040F26">
              <w:rPr>
                <w:rFonts w:cstheme="minorHAnsi"/>
                <w:lang w:val="en-US"/>
              </w:rPr>
              <w:t xml:space="preserve"> combines the</w:t>
            </w:r>
            <w:r w:rsidR="0027592D" w:rsidRPr="00040F26">
              <w:rPr>
                <w:rFonts w:cstheme="minorHAnsi"/>
                <w:lang w:val="en-US"/>
              </w:rPr>
              <w:t xml:space="preserve"> PaaS</w:t>
            </w:r>
            <w:r w:rsidR="00CE3851" w:rsidRPr="00040F26">
              <w:rPr>
                <w:rFonts w:cstheme="minorHAnsi"/>
                <w:lang w:val="en-US"/>
              </w:rPr>
              <w:t xml:space="preserve"> by the</w:t>
            </w:r>
            <w:r w:rsidR="0027592D" w:rsidRPr="00040F26">
              <w:rPr>
                <w:rFonts w:cstheme="minorHAnsi"/>
                <w:lang w:val="en-US"/>
              </w:rPr>
              <w:t xml:space="preserve"> Blockchain 2.0</w:t>
            </w:r>
            <w:r w:rsidR="00CE3851" w:rsidRPr="00040F26">
              <w:rPr>
                <w:rFonts w:cstheme="minorHAnsi"/>
                <w:lang w:val="en-US"/>
              </w:rPr>
              <w:t xml:space="preserve"> technology (development and execution environment</w:t>
            </w:r>
            <w:r w:rsidR="0031202A" w:rsidRPr="00040F26">
              <w:rPr>
                <w:rFonts w:cstheme="minorHAnsi"/>
                <w:lang w:val="en-US"/>
              </w:rPr>
              <w:t>),</w:t>
            </w:r>
            <w:r w:rsidR="00BA58F5" w:rsidRPr="00040F26">
              <w:rPr>
                <w:rFonts w:cstheme="minorHAnsi"/>
                <w:lang w:val="en-US"/>
              </w:rPr>
              <w:t xml:space="preserve"> White label SaaS</w:t>
            </w:r>
            <w:r w:rsidR="00CE3851" w:rsidRPr="00040F26">
              <w:rPr>
                <w:rFonts w:cstheme="minorHAnsi"/>
                <w:lang w:val="en-US"/>
              </w:rPr>
              <w:t xml:space="preserve"> (in the reports mode of the investor interface</w:t>
            </w:r>
            <w:r w:rsidR="0031202A" w:rsidRPr="00040F26">
              <w:rPr>
                <w:rFonts w:cstheme="minorHAnsi"/>
                <w:lang w:val="en-US"/>
              </w:rPr>
              <w:t>)</w:t>
            </w:r>
            <w:r w:rsidR="0027592D" w:rsidRPr="00040F26">
              <w:rPr>
                <w:rFonts w:cstheme="minorHAnsi"/>
                <w:lang w:val="en-US"/>
              </w:rPr>
              <w:t>,</w:t>
            </w:r>
            <w:r w:rsidR="0040358F" w:rsidRPr="00040F26">
              <w:rPr>
                <w:rFonts w:cstheme="minorHAnsi"/>
                <w:lang w:val="en-US"/>
              </w:rPr>
              <w:t xml:space="preserve"> and</w:t>
            </w:r>
            <w:r w:rsidR="0027592D" w:rsidRPr="00040F26">
              <w:rPr>
                <w:rFonts w:cstheme="minorHAnsi"/>
                <w:lang w:val="en-US"/>
              </w:rPr>
              <w:t xml:space="preserve"> </w:t>
            </w:r>
            <w:r w:rsidR="00CE3851" w:rsidRPr="00040F26">
              <w:rPr>
                <w:rFonts w:cstheme="minorHAnsi"/>
                <w:lang w:val="en-US"/>
              </w:rPr>
              <w:t>transactional commission model</w:t>
            </w:r>
            <w:r w:rsidR="00143E1A" w:rsidRPr="00040F26">
              <w:rPr>
                <w:rFonts w:cstheme="minorHAnsi"/>
                <w:lang w:val="en-US"/>
              </w:rPr>
              <w:t xml:space="preserve"> that allows selling additional services</w:t>
            </w:r>
            <w:r w:rsidR="0027592D" w:rsidRPr="00040F26">
              <w:rPr>
                <w:rFonts w:cstheme="minorHAnsi"/>
                <w:lang w:val="en-US"/>
              </w:rPr>
              <w:t xml:space="preserve">. </w:t>
            </w:r>
          </w:p>
          <w:p w:rsidR="00E04121" w:rsidRPr="00040F26" w:rsidRDefault="00143E1A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Such business model allows covering various segments of wealth managers.</w:t>
            </w:r>
          </w:p>
          <w:p w:rsidR="00143E1A" w:rsidRPr="00040F26" w:rsidRDefault="00143E1A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Investors will not pay</w:t>
            </w:r>
            <w:r w:rsidR="0040358F" w:rsidRPr="00040F26">
              <w:rPr>
                <w:rFonts w:cstheme="minorHAnsi"/>
                <w:b/>
                <w:lang w:val="en-US"/>
              </w:rPr>
              <w:t xml:space="preserve"> subscribing</w:t>
            </w:r>
            <w:r w:rsidRPr="00040F26">
              <w:rPr>
                <w:rFonts w:cstheme="minorHAnsi"/>
                <w:b/>
                <w:lang w:val="en-US"/>
              </w:rPr>
              <w:t xml:space="preserve"> fee</w:t>
            </w:r>
            <w:r w:rsidR="0040358F" w:rsidRPr="00040F26">
              <w:rPr>
                <w:rFonts w:cstheme="minorHAnsi"/>
                <w:b/>
                <w:lang w:val="en-US"/>
              </w:rPr>
              <w:t>s</w:t>
            </w:r>
            <w:r w:rsidRPr="00040F26">
              <w:rPr>
                <w:rFonts w:cstheme="minorHAnsi"/>
                <w:b/>
                <w:lang w:val="en-US"/>
              </w:rPr>
              <w:t xml:space="preserve"> to the platform</w:t>
            </w:r>
            <w:r w:rsidR="00511406" w:rsidRPr="00040F26">
              <w:rPr>
                <w:rFonts w:cstheme="minorHAnsi"/>
                <w:b/>
                <w:lang w:val="en-US"/>
              </w:rPr>
              <w:t>.</w:t>
            </w:r>
          </w:p>
          <w:p w:rsidR="00E04121" w:rsidRPr="00040F26" w:rsidRDefault="00143E1A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However, investors will </w:t>
            </w:r>
            <w:r w:rsidR="00C25C74" w:rsidRPr="00040F26">
              <w:rPr>
                <w:rFonts w:cstheme="minorHAnsi"/>
                <w:lang w:val="en-US"/>
              </w:rPr>
              <w:t xml:space="preserve">cover the following: blockchain commissions, </w:t>
            </w:r>
            <w:r w:rsidR="00CB61FB" w:rsidRPr="00040F26">
              <w:rPr>
                <w:rFonts w:cstheme="minorHAnsi"/>
                <w:lang w:val="en-US"/>
              </w:rPr>
              <w:t>IPFS storage costs, etc</w:t>
            </w:r>
            <w:r w:rsidR="00E04121" w:rsidRPr="00040F26">
              <w:rPr>
                <w:rFonts w:cstheme="minorHAnsi"/>
                <w:lang w:val="en-US"/>
              </w:rPr>
              <w:t xml:space="preserve">. </w:t>
            </w:r>
          </w:p>
          <w:p w:rsidR="003A4E88" w:rsidRPr="00040F26" w:rsidRDefault="00CB61FB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The target audience of </w:t>
            </w:r>
            <w:proofErr w:type="spellStart"/>
            <w:r w:rsidRPr="00040F26">
              <w:rPr>
                <w:rFonts w:cstheme="minorHAnsi"/>
                <w:lang w:val="en-US"/>
              </w:rPr>
              <w:t>robo</w:t>
            </w:r>
            <w:proofErr w:type="spellEnd"/>
            <w:r w:rsidRPr="00040F26">
              <w:rPr>
                <w:rFonts w:cstheme="minorHAnsi"/>
                <w:lang w:val="en-US"/>
              </w:rPr>
              <w:t>-advisors</w:t>
            </w:r>
            <w:r w:rsidR="00631BBE" w:rsidRPr="00040F26">
              <w:rPr>
                <w:rFonts w:cstheme="minorHAnsi"/>
                <w:lang w:val="en-US"/>
              </w:rPr>
              <w:t xml:space="preserve"> (investors-users)</w:t>
            </w:r>
            <w:r w:rsidRPr="00040F26">
              <w:rPr>
                <w:rFonts w:cstheme="minorHAnsi"/>
                <w:lang w:val="en-US"/>
              </w:rPr>
              <w:t xml:space="preserve"> contains</w:t>
            </w:r>
            <w:r w:rsidR="00631BBE" w:rsidRPr="00040F26">
              <w:rPr>
                <w:rFonts w:cstheme="minorHAnsi"/>
                <w:lang w:val="en-US"/>
              </w:rPr>
              <w:t xml:space="preserve"> of</w:t>
            </w:r>
            <w:r w:rsidRPr="00040F26">
              <w:rPr>
                <w:rFonts w:cstheme="minorHAnsi"/>
                <w:lang w:val="en-US"/>
              </w:rPr>
              <w:t xml:space="preserve"> people of </w:t>
            </w:r>
            <w:r w:rsidR="0040358F" w:rsidRPr="00040F26">
              <w:rPr>
                <w:rFonts w:cstheme="minorHAnsi"/>
                <w:lang w:val="en-US"/>
              </w:rPr>
              <w:t xml:space="preserve">the </w:t>
            </w:r>
            <w:r w:rsidRPr="00040F26">
              <w:rPr>
                <w:rFonts w:cstheme="minorHAnsi"/>
                <w:lang w:val="en-US"/>
              </w:rPr>
              <w:t xml:space="preserve">25-35 age group; those in possession of liquid capital of $22 000 on average; those who reside in the USA, Western Europe and South-East Asia. </w:t>
            </w:r>
          </w:p>
          <w:p w:rsidR="00211D37" w:rsidRPr="00040F26" w:rsidRDefault="00CB61FB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The cost of attraction of 1 investor varies from $300 to $1000</w:t>
            </w:r>
            <w:r w:rsidR="00211D37" w:rsidRPr="00040F26">
              <w:rPr>
                <w:rStyle w:val="a8"/>
                <w:rFonts w:cstheme="minorHAnsi"/>
              </w:rPr>
              <w:footnoteReference w:id="1"/>
            </w:r>
            <w:r w:rsidR="00211D37" w:rsidRPr="00040F26">
              <w:rPr>
                <w:rFonts w:cstheme="minorHAnsi"/>
                <w:lang w:val="en-US"/>
              </w:rPr>
              <w:t>.</w:t>
            </w:r>
          </w:p>
          <w:p w:rsidR="0027592D" w:rsidRPr="00040F26" w:rsidRDefault="0027592D" w:rsidP="00077425">
            <w:pPr>
              <w:rPr>
                <w:rFonts w:cstheme="minorHAnsi"/>
                <w:lang w:val="en-US"/>
              </w:rPr>
            </w:pPr>
          </w:p>
          <w:p w:rsidR="00E04121" w:rsidRPr="00040F26" w:rsidRDefault="005814A1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Wealth managers will be charged 20% of the</w:t>
            </w:r>
            <w:r w:rsidR="008C4704" w:rsidRPr="00040F26">
              <w:rPr>
                <w:rFonts w:cstheme="minorHAnsi"/>
                <w:b/>
                <w:lang w:val="en-US"/>
              </w:rPr>
              <w:t>ir commission obtained from provision of services in the platform’s ecosystem</w:t>
            </w:r>
            <w:r w:rsidR="00E04121" w:rsidRPr="00040F26">
              <w:rPr>
                <w:rFonts w:cstheme="minorHAnsi"/>
                <w:lang w:val="en-US"/>
              </w:rPr>
              <w:t xml:space="preserve">. </w:t>
            </w:r>
            <w:r w:rsidR="002F1673" w:rsidRPr="00040F26">
              <w:rPr>
                <w:rFonts w:cstheme="minorHAnsi"/>
                <w:lang w:val="en-US"/>
              </w:rPr>
              <w:t xml:space="preserve">The level of fee is </w:t>
            </w:r>
            <w:r w:rsidR="0040358F" w:rsidRPr="00040F26">
              <w:rPr>
                <w:rFonts w:cstheme="minorHAnsi"/>
                <w:lang w:val="en-US"/>
              </w:rPr>
              <w:t>at</w:t>
            </w:r>
            <w:r w:rsidR="002F1673" w:rsidRPr="00040F26">
              <w:rPr>
                <w:rFonts w:cstheme="minorHAnsi"/>
                <w:lang w:val="en-US"/>
              </w:rPr>
              <w:t xml:space="preserve"> the lower position compared to the market </w:t>
            </w:r>
            <w:r w:rsidR="0040358F" w:rsidRPr="00040F26">
              <w:rPr>
                <w:rFonts w:cstheme="minorHAnsi"/>
                <w:lang w:val="en-US"/>
              </w:rPr>
              <w:t>rates: on average,</w:t>
            </w:r>
            <w:r w:rsidR="00655124" w:rsidRPr="00040F26">
              <w:rPr>
                <w:rFonts w:cstheme="minorHAnsi"/>
                <w:lang w:val="en-US"/>
              </w:rPr>
              <w:t xml:space="preserve"> it varies from 20</w:t>
            </w:r>
            <w:r w:rsidR="002F1673" w:rsidRPr="00040F26">
              <w:rPr>
                <w:rFonts w:cstheme="minorHAnsi"/>
                <w:lang w:val="en-US"/>
              </w:rPr>
              <w:t xml:space="preserve"> to </w:t>
            </w:r>
            <w:r w:rsidR="00655124" w:rsidRPr="00040F26">
              <w:rPr>
                <w:rFonts w:cstheme="minorHAnsi"/>
                <w:lang w:val="en-US"/>
              </w:rPr>
              <w:t>70 percent</w:t>
            </w:r>
            <w:r w:rsidR="00E04121" w:rsidRPr="00040F26">
              <w:rPr>
                <w:rFonts w:cstheme="minorHAnsi"/>
                <w:lang w:val="en-US"/>
              </w:rPr>
              <w:t xml:space="preserve">. </w:t>
            </w:r>
          </w:p>
          <w:p w:rsidR="00E04121" w:rsidRPr="00040F26" w:rsidRDefault="002F1673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Targeted wealth managers</w:t>
            </w:r>
            <w:r w:rsidR="00655124" w:rsidRPr="00040F26">
              <w:rPr>
                <w:rFonts w:cstheme="minorHAnsi"/>
                <w:lang w:val="en-US"/>
              </w:rPr>
              <w:t>:</w:t>
            </w:r>
            <w:r w:rsidRPr="00040F26">
              <w:rPr>
                <w:rFonts w:cstheme="minorHAnsi"/>
                <w:lang w:val="en-US"/>
              </w:rPr>
              <w:t xml:space="preserve"> private financial </w:t>
            </w:r>
            <w:r w:rsidR="00631BBE" w:rsidRPr="00040F26">
              <w:rPr>
                <w:rFonts w:cstheme="minorHAnsi"/>
                <w:lang w:val="en-US"/>
              </w:rPr>
              <w:t>advisers</w:t>
            </w:r>
            <w:r w:rsidRPr="00040F26">
              <w:rPr>
                <w:rFonts w:cstheme="minorHAnsi"/>
                <w:lang w:val="en-US"/>
              </w:rPr>
              <w:t xml:space="preserve"> and individual asset managers that work at multi-family offices</w:t>
            </w:r>
            <w:r w:rsidR="00E04121" w:rsidRPr="00040F26">
              <w:rPr>
                <w:rFonts w:cstheme="minorHAnsi"/>
                <w:lang w:val="en-US"/>
              </w:rPr>
              <w:t>.</w:t>
            </w:r>
          </w:p>
          <w:p w:rsidR="00211D37" w:rsidRPr="00040F26" w:rsidRDefault="002F1673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The cost of attraction of 1 wealth manager is </w:t>
            </w:r>
            <w:r w:rsidR="00211D37" w:rsidRPr="00040F26">
              <w:rPr>
                <w:rFonts w:cstheme="minorHAnsi"/>
                <w:lang w:val="en-US"/>
              </w:rPr>
              <w:t>1400$</w:t>
            </w:r>
            <w:r w:rsidR="00211D37" w:rsidRPr="00040F26">
              <w:rPr>
                <w:rStyle w:val="a8"/>
                <w:rFonts w:cstheme="minorHAnsi"/>
                <w:lang w:val="en-US"/>
              </w:rPr>
              <w:footnoteReference w:id="2"/>
            </w:r>
            <w:r w:rsidR="00211D37" w:rsidRPr="00040F26">
              <w:rPr>
                <w:rFonts w:cstheme="minorHAnsi"/>
                <w:lang w:val="en-US"/>
              </w:rPr>
              <w:t>.</w:t>
            </w:r>
          </w:p>
          <w:p w:rsidR="00E04121" w:rsidRPr="00040F26" w:rsidRDefault="00E04121" w:rsidP="00077425">
            <w:pPr>
              <w:rPr>
                <w:rFonts w:cstheme="minorHAnsi"/>
                <w:lang w:val="en-US"/>
              </w:rPr>
            </w:pPr>
          </w:p>
          <w:p w:rsidR="00E04121" w:rsidRPr="00040F26" w:rsidRDefault="00631BBE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Other interested parties</w:t>
            </w:r>
            <w:r w:rsidR="002F1673" w:rsidRPr="00040F26">
              <w:rPr>
                <w:rFonts w:cstheme="minorHAnsi"/>
                <w:lang w:val="en-US"/>
              </w:rPr>
              <w:t xml:space="preserve"> pay 20% of their commissions to the platform </w:t>
            </w:r>
            <w:r w:rsidR="00DA7C5F" w:rsidRPr="00040F26">
              <w:rPr>
                <w:rFonts w:cstheme="minorHAnsi"/>
                <w:lang w:val="en-US"/>
              </w:rPr>
              <w:t>for provision of data or from selling insurances</w:t>
            </w:r>
            <w:r w:rsidR="007B10C0" w:rsidRPr="00040F26">
              <w:rPr>
                <w:rStyle w:val="a8"/>
                <w:rFonts w:cstheme="minorHAnsi"/>
              </w:rPr>
              <w:footnoteReference w:id="3"/>
            </w:r>
            <w:r w:rsidR="00655124" w:rsidRPr="00040F26">
              <w:rPr>
                <w:rFonts w:cstheme="minorHAnsi"/>
                <w:lang w:val="en-US"/>
              </w:rPr>
              <w:t>.</w:t>
            </w:r>
          </w:p>
        </w:tc>
      </w:tr>
      <w:tr w:rsidR="00077425" w:rsidRPr="00040F26" w:rsidTr="00077425">
        <w:trPr>
          <w:trHeight w:val="10593"/>
        </w:trPr>
        <w:tc>
          <w:tcPr>
            <w:tcW w:w="2830" w:type="dxa"/>
            <w:vMerge w:val="restart"/>
          </w:tcPr>
          <w:p w:rsidR="00077425" w:rsidRPr="00040F26" w:rsidRDefault="0012623B" w:rsidP="00077425">
            <w:pPr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lastRenderedPageBreak/>
              <w:t xml:space="preserve">Investment feasibility </w:t>
            </w:r>
          </w:p>
          <w:p w:rsidR="00106401" w:rsidRPr="00040F26" w:rsidRDefault="00106401" w:rsidP="00077425">
            <w:pPr>
              <w:rPr>
                <w:rFonts w:cstheme="minorHAnsi"/>
                <w:b/>
              </w:rPr>
            </w:pPr>
          </w:p>
          <w:p w:rsidR="00077425" w:rsidRPr="00040F26" w:rsidRDefault="00077425" w:rsidP="00077425">
            <w:pPr>
              <w:rPr>
                <w:rFonts w:cstheme="minorHAnsi"/>
                <w:b/>
              </w:rPr>
            </w:pPr>
          </w:p>
        </w:tc>
        <w:tc>
          <w:tcPr>
            <w:tcW w:w="6515" w:type="dxa"/>
          </w:tcPr>
          <w:p w:rsidR="00106401" w:rsidRPr="00040F26" w:rsidRDefault="00106401" w:rsidP="00106401">
            <w:pPr>
              <w:pStyle w:val="a3"/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deflation model of the token</w:t>
            </w:r>
          </w:p>
          <w:p w:rsidR="00077425" w:rsidRPr="00040F26" w:rsidRDefault="00106401" w:rsidP="00106401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AWM token</w:t>
            </w:r>
            <w:r w:rsidR="00591AF0" w:rsidRPr="00040F26">
              <w:rPr>
                <w:rFonts w:cstheme="minorHAnsi"/>
                <w:lang w:val="en-US"/>
              </w:rPr>
              <w:t>s</w:t>
            </w:r>
            <w:r w:rsidRPr="00040F26">
              <w:rPr>
                <w:rFonts w:cstheme="minorHAnsi"/>
                <w:lang w:val="en-US"/>
              </w:rPr>
              <w:t xml:space="preserve"> </w:t>
            </w:r>
            <w:r w:rsidR="00591AF0" w:rsidRPr="00040F26">
              <w:rPr>
                <w:rFonts w:cstheme="minorHAnsi"/>
                <w:lang w:val="en-US"/>
              </w:rPr>
              <w:t>are</w:t>
            </w:r>
            <w:r w:rsidRPr="00040F26">
              <w:rPr>
                <w:rFonts w:cstheme="minorHAnsi"/>
                <w:lang w:val="en-US"/>
              </w:rPr>
              <w:t xml:space="preserve"> intended for payments within the Wealthman platform. Therefore, </w:t>
            </w:r>
            <w:r w:rsidR="00591AF0" w:rsidRPr="00040F26">
              <w:rPr>
                <w:rFonts w:cstheme="minorHAnsi"/>
                <w:lang w:val="en-US"/>
              </w:rPr>
              <w:t>their</w:t>
            </w:r>
            <w:r w:rsidRPr="00040F26">
              <w:rPr>
                <w:rFonts w:cstheme="minorHAnsi"/>
                <w:lang w:val="en-US"/>
              </w:rPr>
              <w:t xml:space="preserve"> market pri</w:t>
            </w:r>
            <w:r w:rsidR="00C9117D" w:rsidRPr="00040F26">
              <w:rPr>
                <w:rFonts w:cstheme="minorHAnsi"/>
                <w:lang w:val="en-US"/>
              </w:rPr>
              <w:t xml:space="preserve">ce will </w:t>
            </w:r>
            <w:r w:rsidR="00591AF0" w:rsidRPr="00040F26">
              <w:rPr>
                <w:rFonts w:cstheme="minorHAnsi"/>
                <w:lang w:val="en-US"/>
              </w:rPr>
              <w:t>fluctuate around the</w:t>
            </w:r>
            <w:r w:rsidR="00C9117D" w:rsidRPr="00040F26">
              <w:rPr>
                <w:rFonts w:cstheme="minorHAnsi"/>
                <w:lang w:val="en-US"/>
              </w:rPr>
              <w:t xml:space="preserve"> minimum </w:t>
            </w:r>
            <w:r w:rsidRPr="00040F26">
              <w:rPr>
                <w:rFonts w:cstheme="minorHAnsi"/>
                <w:lang w:val="en-US"/>
              </w:rPr>
              <w:t>necessary</w:t>
            </w:r>
            <w:r w:rsidR="00C9117D" w:rsidRPr="00040F26">
              <w:rPr>
                <w:rFonts w:cstheme="minorHAnsi"/>
                <w:lang w:val="en-US"/>
              </w:rPr>
              <w:t xml:space="preserve"> value that ensures</w:t>
            </w:r>
            <w:r w:rsidRPr="00040F26">
              <w:rPr>
                <w:rFonts w:cstheme="minorHAnsi"/>
                <w:lang w:val="en-US"/>
              </w:rPr>
              <w:t xml:space="preserve"> the functioning of the platform. Such value can be calculated using the formula for estimating net working capital:</w:t>
            </w:r>
          </w:p>
          <w:p w:rsidR="00C9117D" w:rsidRPr="00040F26" w:rsidRDefault="00077425" w:rsidP="00C9117D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eastAsiaTheme="minorEastAsia" w:cstheme="minorHAnsi"/>
                <w:lang w:val="en-US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cstheme="minorHAnsi"/>
                    <w:lang w:val="en-US"/>
                  </w:rPr>
                  <m:t>Transactional price of 1 token</m:t>
                </m:r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365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DAYS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*N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w:br/>
                </m:r>
              </m:oMath>
            </m:oMathPara>
            <w:r w:rsidR="00C9117D" w:rsidRPr="00040F26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="00C9117D" w:rsidRPr="00040F26">
              <w:rPr>
                <w:rFonts w:cstheme="minorHAnsi"/>
                <w:lang w:val="en-US"/>
              </w:rPr>
              <w:t>CFi</w:t>
            </w:r>
            <w:proofErr w:type="spellEnd"/>
            <w:r w:rsidR="00C9117D" w:rsidRPr="00040F26">
              <w:rPr>
                <w:rFonts w:cstheme="minorHAnsi"/>
                <w:lang w:val="en-US"/>
              </w:rPr>
              <w:t xml:space="preserve"> stands for </w:t>
            </w:r>
            <w:r w:rsidR="00591AF0" w:rsidRPr="00040F26">
              <w:rPr>
                <w:rFonts w:cstheme="minorHAnsi"/>
                <w:lang w:val="en-US"/>
              </w:rPr>
              <w:t>cash flow in tokens from the i-</w:t>
            </w:r>
            <w:proofErr w:type="spellStart"/>
            <w:r w:rsidR="00591AF0" w:rsidRPr="00040F26">
              <w:rPr>
                <w:rFonts w:cstheme="minorHAnsi"/>
                <w:lang w:val="en-US"/>
              </w:rPr>
              <w:t>th</w:t>
            </w:r>
            <w:proofErr w:type="spellEnd"/>
            <w:r w:rsidR="00591AF0" w:rsidRPr="00040F26">
              <w:rPr>
                <w:rFonts w:cstheme="minorHAnsi"/>
                <w:lang w:val="en-US"/>
              </w:rPr>
              <w:t xml:space="preserve"> p</w:t>
            </w:r>
            <w:r w:rsidR="00C9117D" w:rsidRPr="00040F26">
              <w:rPr>
                <w:rFonts w:cstheme="minorHAnsi"/>
                <w:lang w:val="en-US"/>
              </w:rPr>
              <w:t>latform service per year;</w:t>
            </w:r>
          </w:p>
          <w:p w:rsidR="00C9117D" w:rsidRPr="00040F26" w:rsidRDefault="00C9117D" w:rsidP="00C9117D">
            <w:pPr>
              <w:pStyle w:val="a3"/>
              <w:rPr>
                <w:rFonts w:cstheme="minorHAnsi"/>
                <w:lang w:val="en-US"/>
              </w:rPr>
            </w:pPr>
            <w:proofErr w:type="spellStart"/>
            <w:r w:rsidRPr="00040F26">
              <w:rPr>
                <w:rFonts w:cstheme="minorHAnsi"/>
                <w:lang w:val="en-US"/>
              </w:rPr>
              <w:t>DAYSi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 for the number of days that </w:t>
            </w:r>
            <w:r w:rsidR="00591AF0" w:rsidRPr="00040F26">
              <w:rPr>
                <w:rFonts w:cstheme="minorHAnsi"/>
                <w:lang w:val="en-US"/>
              </w:rPr>
              <w:t>a</w:t>
            </w:r>
            <w:r w:rsidRPr="00040F26">
              <w:rPr>
                <w:rFonts w:cstheme="minorHAnsi"/>
                <w:lang w:val="en-US"/>
              </w:rPr>
              <w:t xml:space="preserve"> token should be in the hands of </w:t>
            </w:r>
            <w:r w:rsidR="00591AF0" w:rsidRPr="00040F26">
              <w:rPr>
                <w:rFonts w:cstheme="minorHAnsi"/>
                <w:lang w:val="en-US"/>
              </w:rPr>
              <w:t>a buyer/seller</w:t>
            </w:r>
            <w:r w:rsidRPr="00040F26">
              <w:rPr>
                <w:rFonts w:cstheme="minorHAnsi"/>
                <w:lang w:val="en-US"/>
              </w:rPr>
              <w:t xml:space="preserve"> of the i-</w:t>
            </w:r>
            <w:proofErr w:type="spellStart"/>
            <w:r w:rsidRPr="00040F26">
              <w:rPr>
                <w:rFonts w:cstheme="minorHAnsi"/>
                <w:lang w:val="en-US"/>
              </w:rPr>
              <w:t>th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 service (token reserve rate in days);</w:t>
            </w:r>
          </w:p>
          <w:p w:rsidR="00C9117D" w:rsidRPr="00040F26" w:rsidRDefault="00C9117D" w:rsidP="00C9117D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n for the number of platform services. They are described in detail below;</w:t>
            </w:r>
          </w:p>
          <w:p w:rsidR="00077425" w:rsidRPr="00040F26" w:rsidRDefault="00C36A15" w:rsidP="00C9117D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N for the n</w:t>
            </w:r>
            <w:r w:rsidR="00C9117D" w:rsidRPr="00040F26">
              <w:rPr>
                <w:rFonts w:cstheme="minorHAnsi"/>
                <w:lang w:val="en-US"/>
              </w:rPr>
              <w:t>umber of tokens in circulation</w:t>
            </w:r>
            <w:r w:rsidR="00B9367B" w:rsidRPr="00040F26">
              <w:rPr>
                <w:rFonts w:cstheme="minorHAnsi"/>
                <w:lang w:val="en-US"/>
              </w:rPr>
              <w:t>.</w:t>
            </w:r>
          </w:p>
          <w:p w:rsidR="00077425" w:rsidRPr="00040F26" w:rsidRDefault="00077425" w:rsidP="00077425">
            <w:pPr>
              <w:pStyle w:val="a3"/>
              <w:ind w:left="0"/>
              <w:rPr>
                <w:rFonts w:cstheme="minorHAnsi"/>
                <w:lang w:val="en-US"/>
              </w:rPr>
            </w:pPr>
          </w:p>
          <w:p w:rsidR="000D72B5" w:rsidRPr="00040F26" w:rsidRDefault="000D72B5" w:rsidP="00B9367B">
            <w:pPr>
              <w:pStyle w:val="a3"/>
              <w:tabs>
                <w:tab w:val="left" w:pos="5274"/>
              </w:tabs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Every month 61.6858% of </w:t>
            </w:r>
            <w:proofErr w:type="spellStart"/>
            <w:r w:rsidRPr="00040F26">
              <w:rPr>
                <w:rFonts w:cstheme="minorHAnsi"/>
                <w:lang w:val="en-US"/>
              </w:rPr>
              <w:t>Wealthman’s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 profit </w:t>
            </w:r>
            <w:r w:rsidR="00B9367B" w:rsidRPr="00040F26">
              <w:rPr>
                <w:rFonts w:cstheme="minorHAnsi"/>
                <w:lang w:val="en-US"/>
              </w:rPr>
              <w:t>will be</w:t>
            </w:r>
            <w:r w:rsidRPr="00040F26">
              <w:rPr>
                <w:rFonts w:cstheme="minorHAnsi"/>
                <w:lang w:val="en-US"/>
              </w:rPr>
              <w:t xml:space="preserve"> spent on burning AWM tokens. Even with no increase in operational results the value of tokens</w:t>
            </w:r>
            <w:r w:rsidR="00B9367B" w:rsidRPr="00040F26">
              <w:rPr>
                <w:rFonts w:cstheme="minorHAnsi"/>
                <w:lang w:val="en-US"/>
              </w:rPr>
              <w:t xml:space="preserve"> will increase</w:t>
            </w:r>
            <w:r w:rsidRPr="00040F26">
              <w:rPr>
                <w:rFonts w:cstheme="minorHAnsi"/>
                <w:lang w:val="en-US"/>
              </w:rPr>
              <w:t xml:space="preserve"> due to reduction of their quantity.</w:t>
            </w:r>
          </w:p>
          <w:p w:rsidR="000D72B5" w:rsidRPr="00040F26" w:rsidRDefault="000D72B5" w:rsidP="000D72B5">
            <w:pPr>
              <w:pStyle w:val="a3"/>
              <w:rPr>
                <w:rFonts w:cstheme="minorHAnsi"/>
                <w:lang w:val="en-US"/>
              </w:rPr>
            </w:pPr>
          </w:p>
          <w:p w:rsidR="000D72B5" w:rsidRPr="00040F26" w:rsidRDefault="00433963" w:rsidP="000D72B5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The</w:t>
            </w:r>
            <w:r w:rsidR="000D72B5" w:rsidRPr="00040F26">
              <w:rPr>
                <w:rFonts w:cstheme="minorHAnsi"/>
                <w:lang w:val="en-US"/>
              </w:rPr>
              <w:t xml:space="preserve"> use of the token</w:t>
            </w:r>
            <w:r w:rsidRPr="00040F26">
              <w:rPr>
                <w:rFonts w:cstheme="minorHAnsi"/>
                <w:lang w:val="en-US"/>
              </w:rPr>
              <w:t>s</w:t>
            </w:r>
            <w:r w:rsidR="000D72B5" w:rsidRPr="00040F26">
              <w:rPr>
                <w:rFonts w:cstheme="minorHAnsi"/>
                <w:lang w:val="en-US"/>
              </w:rPr>
              <w:t xml:space="preserve"> in Wealthman services</w:t>
            </w:r>
            <w:r w:rsidRPr="00040F26">
              <w:rPr>
                <w:rFonts w:cstheme="minorHAnsi"/>
                <w:lang w:val="en-US"/>
              </w:rPr>
              <w:t xml:space="preserve"> are multiple</w:t>
            </w:r>
            <w:r w:rsidR="000D72B5" w:rsidRPr="00040F26">
              <w:rPr>
                <w:rFonts w:cstheme="minorHAnsi"/>
                <w:lang w:val="en-US"/>
              </w:rPr>
              <w:t>:</w:t>
            </w:r>
          </w:p>
          <w:p w:rsidR="000D72B5" w:rsidRPr="00040F26" w:rsidRDefault="00774A8F" w:rsidP="000D72B5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-A a p</w:t>
            </w:r>
            <w:r w:rsidR="000D72B5" w:rsidRPr="00040F26">
              <w:rPr>
                <w:rFonts w:cstheme="minorHAnsi"/>
                <w:lang w:val="en-US"/>
              </w:rPr>
              <w:t xml:space="preserve">ayment </w:t>
            </w:r>
            <w:r w:rsidRPr="00040F26">
              <w:rPr>
                <w:rFonts w:cstheme="minorHAnsi"/>
                <w:lang w:val="en-US"/>
              </w:rPr>
              <w:t>for</w:t>
            </w:r>
            <w:r w:rsidR="000D72B5" w:rsidRPr="00040F26">
              <w:rPr>
                <w:rFonts w:cstheme="minorHAnsi"/>
                <w:lang w:val="en-US"/>
              </w:rPr>
              <w:t xml:space="preserve"> services of the platform</w:t>
            </w:r>
            <w:r w:rsidR="00433963" w:rsidRPr="00040F26">
              <w:rPr>
                <w:rFonts w:cstheme="minorHAnsi"/>
                <w:lang w:val="en-US"/>
              </w:rPr>
              <w:t>;</w:t>
            </w:r>
            <w:r w:rsidR="000D72B5" w:rsidRPr="00040F26">
              <w:rPr>
                <w:rFonts w:cstheme="minorHAnsi"/>
                <w:lang w:val="en-US"/>
              </w:rPr>
              <w:t xml:space="preserve"> token storage </w:t>
            </w:r>
            <w:r w:rsidR="00433963" w:rsidRPr="00040F26">
              <w:rPr>
                <w:rFonts w:cstheme="minorHAnsi"/>
                <w:lang w:val="en-US"/>
              </w:rPr>
              <w:t>time</w:t>
            </w:r>
            <w:r w:rsidR="000D72B5" w:rsidRPr="00040F26">
              <w:rPr>
                <w:rFonts w:cstheme="minorHAnsi"/>
                <w:lang w:val="en-US"/>
              </w:rPr>
              <w:t xml:space="preserve"> on the </w:t>
            </w:r>
            <w:r w:rsidR="00433963" w:rsidRPr="00040F26">
              <w:rPr>
                <w:rFonts w:cstheme="minorHAnsi"/>
                <w:lang w:val="en-US"/>
              </w:rPr>
              <w:t xml:space="preserve">account of Wealthman equals to </w:t>
            </w:r>
            <w:r w:rsidR="000D72B5" w:rsidRPr="00040F26">
              <w:rPr>
                <w:rFonts w:cstheme="minorHAnsi"/>
                <w:lang w:val="en-US"/>
              </w:rPr>
              <w:t>15 days,</w:t>
            </w:r>
          </w:p>
          <w:p w:rsidR="000D72B5" w:rsidRPr="00040F26" w:rsidRDefault="000D72B5" w:rsidP="000D72B5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</w:t>
            </w:r>
            <w:r w:rsidR="00774A8F" w:rsidRPr="00040F26">
              <w:rPr>
                <w:rFonts w:cstheme="minorHAnsi"/>
                <w:lang w:val="en-US"/>
              </w:rPr>
              <w:t>For t</w:t>
            </w:r>
            <w:r w:rsidR="00433963" w:rsidRPr="00040F26">
              <w:rPr>
                <w:rFonts w:cstheme="minorHAnsi"/>
                <w:lang w:val="en-US"/>
              </w:rPr>
              <w:t>ransactions</w:t>
            </w:r>
            <w:r w:rsidRPr="00040F26">
              <w:rPr>
                <w:rFonts w:cstheme="minorHAnsi"/>
                <w:lang w:val="en-US"/>
              </w:rPr>
              <w:t xml:space="preserve"> between platform participants when paying for data supply,</w:t>
            </w:r>
          </w:p>
          <w:p w:rsidR="000D72B5" w:rsidRPr="00040F26" w:rsidRDefault="00774A8F" w:rsidP="000D72B5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-As a d</w:t>
            </w:r>
            <w:r w:rsidR="00433963" w:rsidRPr="00040F26">
              <w:rPr>
                <w:rFonts w:cstheme="minorHAnsi"/>
                <w:lang w:val="en-US"/>
              </w:rPr>
              <w:t>epositary tool in securing the</w:t>
            </w:r>
            <w:r w:rsidR="000D72B5" w:rsidRPr="00040F26">
              <w:rPr>
                <w:rFonts w:cstheme="minorHAnsi"/>
                <w:lang w:val="en-US"/>
              </w:rPr>
              <w:t xml:space="preserve"> uninterrupted and </w:t>
            </w:r>
            <w:r w:rsidR="00433963" w:rsidRPr="00040F26">
              <w:rPr>
                <w:rFonts w:cstheme="minorHAnsi"/>
                <w:lang w:val="en-US"/>
              </w:rPr>
              <w:t>accurate</w:t>
            </w:r>
            <w:r w:rsidR="000D72B5" w:rsidRPr="00040F26">
              <w:rPr>
                <w:rFonts w:cstheme="minorHAnsi"/>
                <w:lang w:val="en-US"/>
              </w:rPr>
              <w:t xml:space="preserve"> delivery of data. Data provider</w:t>
            </w:r>
            <w:r w:rsidR="00433963" w:rsidRPr="00040F26">
              <w:rPr>
                <w:rFonts w:cstheme="minorHAnsi"/>
                <w:lang w:val="en-US"/>
              </w:rPr>
              <w:t>’s</w:t>
            </w:r>
            <w:r w:rsidR="000D72B5" w:rsidRPr="00040F26">
              <w:rPr>
                <w:rFonts w:cstheme="minorHAnsi"/>
                <w:lang w:val="en-US"/>
              </w:rPr>
              <w:t xml:space="preserve"> tokens are frozen by a 60-day contract +</w:t>
            </w:r>
            <w:r w:rsidR="00433963" w:rsidRPr="00040F26">
              <w:rPr>
                <w:rFonts w:cstheme="minorHAnsi"/>
                <w:lang w:val="en-US"/>
              </w:rPr>
              <w:t xml:space="preserve"> the time of data delivery</w:t>
            </w:r>
            <w:r w:rsidR="000D72B5" w:rsidRPr="00040F26">
              <w:rPr>
                <w:rFonts w:cstheme="minorHAnsi"/>
                <w:lang w:val="en-US"/>
              </w:rPr>
              <w:t>,</w:t>
            </w:r>
          </w:p>
          <w:p w:rsidR="000D72B5" w:rsidRPr="00040F26" w:rsidRDefault="00774A8F" w:rsidP="000D72B5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-For s</w:t>
            </w:r>
            <w:r w:rsidR="000D72B5" w:rsidRPr="00040F26">
              <w:rPr>
                <w:rFonts w:cstheme="minorHAnsi"/>
                <w:lang w:val="en-US"/>
              </w:rPr>
              <w:t>ervices of the following development st</w:t>
            </w:r>
            <w:r w:rsidRPr="00040F26">
              <w:rPr>
                <w:rFonts w:cstheme="minorHAnsi"/>
                <w:lang w:val="en-US"/>
              </w:rPr>
              <w:t>ages: s</w:t>
            </w:r>
            <w:r w:rsidR="00433963" w:rsidRPr="00040F26">
              <w:rPr>
                <w:rFonts w:cstheme="minorHAnsi"/>
                <w:lang w:val="en-US"/>
              </w:rPr>
              <w:t>ales of analysis</w:t>
            </w:r>
            <w:r w:rsidR="000D72B5" w:rsidRPr="00040F26">
              <w:rPr>
                <w:rFonts w:cstheme="minorHAnsi"/>
                <w:lang w:val="en-US"/>
              </w:rPr>
              <w:t>, asset inheritance contracts, etc.</w:t>
            </w:r>
          </w:p>
          <w:p w:rsidR="00077425" w:rsidRPr="00040F26" w:rsidRDefault="00077425" w:rsidP="00077425">
            <w:pPr>
              <w:rPr>
                <w:rFonts w:cstheme="minorHAnsi"/>
                <w:b/>
                <w:lang w:val="en-US"/>
              </w:rPr>
            </w:pPr>
          </w:p>
          <w:p w:rsidR="0012623B" w:rsidRPr="00040F26" w:rsidRDefault="0012623B" w:rsidP="0012623B">
            <w:pPr>
              <w:pStyle w:val="a3"/>
              <w:rPr>
                <w:rFonts w:cstheme="minorHAnsi"/>
                <w:b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50% bonus to the ICO round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As a part of the Private placement round, the placement price assumes a 50% bonus to the ICO round price: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Private Placement Round: 1 ETH = 2250 AWM</w:t>
            </w:r>
          </w:p>
          <w:p w:rsidR="00077425" w:rsidRPr="00040F26" w:rsidRDefault="00077425" w:rsidP="00077425">
            <w:pPr>
              <w:rPr>
                <w:rFonts w:cstheme="minorHAnsi"/>
                <w:lang w:val="en-US"/>
              </w:rPr>
            </w:pPr>
          </w:p>
        </w:tc>
      </w:tr>
      <w:tr w:rsidR="00077425" w:rsidRPr="00040F26" w:rsidTr="004C413D">
        <w:trPr>
          <w:trHeight w:val="4219"/>
        </w:trPr>
        <w:tc>
          <w:tcPr>
            <w:tcW w:w="2830" w:type="dxa"/>
            <w:vMerge/>
          </w:tcPr>
          <w:p w:rsidR="00077425" w:rsidRPr="00040F26" w:rsidRDefault="00077425" w:rsidP="000774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6515" w:type="dxa"/>
          </w:tcPr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ICO Round: 1 ETH = 1500 AWM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The growth potential of assets under management equals up to 1 </w:t>
            </w:r>
            <w:proofErr w:type="spellStart"/>
            <w:r w:rsidRPr="00040F26">
              <w:rPr>
                <w:rFonts w:cstheme="minorHAnsi"/>
                <w:b/>
                <w:lang w:val="en-US"/>
              </w:rPr>
              <w:t>bln</w:t>
            </w:r>
            <w:proofErr w:type="spellEnd"/>
            <w:r w:rsidRPr="00040F26">
              <w:rPr>
                <w:rFonts w:cstheme="minorHAnsi"/>
                <w:b/>
                <w:lang w:val="en-US"/>
              </w:rPr>
              <w:t>. by the year 2020</w:t>
            </w:r>
            <w:r w:rsidRPr="00040F26">
              <w:rPr>
                <w:rFonts w:cstheme="minorHAnsi"/>
                <w:lang w:val="en-US"/>
              </w:rPr>
              <w:t> due to the following factors: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-Clients and the business network of Mera Capital have the potential of transferring capitals of approximately $200 </w:t>
            </w:r>
            <w:proofErr w:type="spellStart"/>
            <w:r w:rsidRPr="00040F26">
              <w:rPr>
                <w:rFonts w:cstheme="minorHAnsi"/>
                <w:lang w:val="en-US"/>
              </w:rPr>
              <w:t>mln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. </w:t>
            </w:r>
            <w:r w:rsidR="00FE6903">
              <w:rPr>
                <w:rFonts w:cstheme="minorHAnsi"/>
                <w:lang w:val="en-US"/>
              </w:rPr>
              <w:t>via</w:t>
            </w:r>
            <w:bookmarkStart w:id="0" w:name="_GoBack"/>
            <w:bookmarkEnd w:id="0"/>
            <w:r w:rsidRPr="00040F26">
              <w:rPr>
                <w:rFonts w:cstheme="minorHAnsi"/>
                <w:lang w:val="en-US"/>
              </w:rPr>
              <w:t xml:space="preserve"> Wealthman;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</w:t>
            </w:r>
            <w:r w:rsidR="0063566D" w:rsidRPr="00040F26">
              <w:rPr>
                <w:rFonts w:cstheme="minorHAnsi"/>
                <w:lang w:val="en-US"/>
              </w:rPr>
              <w:t>A massive</w:t>
            </w:r>
            <w:r w:rsidRPr="00040F26">
              <w:rPr>
                <w:rFonts w:cstheme="minorHAnsi"/>
                <w:lang w:val="en-US"/>
              </w:rPr>
              <w:t xml:space="preserve"> marketing campaign</w:t>
            </w:r>
            <w:r w:rsidR="0063566D" w:rsidRPr="00040F26">
              <w:rPr>
                <w:rFonts w:cstheme="minorHAnsi"/>
                <w:lang w:val="en-US"/>
              </w:rPr>
              <w:t xml:space="preserve"> of</w:t>
            </w:r>
            <w:r w:rsidRPr="00040F26">
              <w:rPr>
                <w:rFonts w:cstheme="minorHAnsi"/>
                <w:lang w:val="en-US"/>
              </w:rPr>
              <w:t xml:space="preserve"> up to </w:t>
            </w:r>
            <w:r w:rsidR="0063566D" w:rsidRPr="00040F26">
              <w:rPr>
                <w:rFonts w:cstheme="minorHAnsi"/>
                <w:lang w:val="en-US"/>
              </w:rPr>
              <w:t>$</w:t>
            </w:r>
            <w:r w:rsidRPr="00040F26">
              <w:rPr>
                <w:rFonts w:cstheme="minorHAnsi"/>
                <w:lang w:val="en-US"/>
              </w:rPr>
              <w:t xml:space="preserve">10 million aimed at attracting professional asset managers </w:t>
            </w:r>
            <w:r w:rsidR="0063566D" w:rsidRPr="00040F26">
              <w:rPr>
                <w:rFonts w:cstheme="minorHAnsi"/>
                <w:lang w:val="en-US"/>
              </w:rPr>
              <w:t>in possession of</w:t>
            </w:r>
            <w:r w:rsidRPr="00040F26">
              <w:rPr>
                <w:rFonts w:cstheme="minorHAnsi"/>
                <w:lang w:val="en-US"/>
              </w:rPr>
              <w:t xml:space="preserve"> t</w:t>
            </w:r>
            <w:r w:rsidR="0063566D" w:rsidRPr="00040F26">
              <w:rPr>
                <w:rFonts w:cstheme="minorHAnsi"/>
                <w:lang w:val="en-US"/>
              </w:rPr>
              <w:t>he base of investors, and</w:t>
            </w:r>
            <w:r w:rsidRPr="00040F26">
              <w:rPr>
                <w:rFonts w:cstheme="minorHAnsi"/>
                <w:lang w:val="en-US"/>
              </w:rPr>
              <w:t xml:space="preserve"> investors from the market;</w:t>
            </w:r>
          </w:p>
          <w:p w:rsidR="0012623B" w:rsidRPr="00040F26" w:rsidRDefault="0012623B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</w:t>
            </w:r>
            <w:r w:rsidR="00774A8F" w:rsidRPr="00040F26">
              <w:rPr>
                <w:rFonts w:cstheme="minorHAnsi"/>
                <w:lang w:val="en-US"/>
              </w:rPr>
              <w:t>The s</w:t>
            </w:r>
            <w:r w:rsidR="0063566D" w:rsidRPr="00040F26">
              <w:rPr>
                <w:rFonts w:cstheme="minorHAnsi"/>
                <w:lang w:val="en-US"/>
              </w:rPr>
              <w:t>olution for</w:t>
            </w:r>
            <w:r w:rsidRPr="00040F26">
              <w:rPr>
                <w:rFonts w:cstheme="minorHAnsi"/>
                <w:lang w:val="en-US"/>
              </w:rPr>
              <w:t xml:space="preserve"> software prot</w:t>
            </w:r>
            <w:r w:rsidR="0063566D" w:rsidRPr="00040F26">
              <w:rPr>
                <w:rFonts w:cstheme="minorHAnsi"/>
                <w:lang w:val="en-US"/>
              </w:rPr>
              <w:t xml:space="preserve">ection of the investor's assets; the alternative to centralized </w:t>
            </w:r>
            <w:proofErr w:type="spellStart"/>
            <w:r w:rsidR="0063566D" w:rsidRPr="00040F26">
              <w:rPr>
                <w:rFonts w:cstheme="minorHAnsi"/>
                <w:lang w:val="en-US"/>
              </w:rPr>
              <w:t>robo</w:t>
            </w:r>
            <w:proofErr w:type="spellEnd"/>
            <w:r w:rsidR="0063566D" w:rsidRPr="00040F26">
              <w:rPr>
                <w:rFonts w:cstheme="minorHAnsi"/>
                <w:lang w:val="en-US"/>
              </w:rPr>
              <w:t>-advisors</w:t>
            </w:r>
            <w:r w:rsidRPr="00040F26">
              <w:rPr>
                <w:rFonts w:cstheme="minorHAnsi"/>
                <w:lang w:val="en-US"/>
              </w:rPr>
              <w:t>;</w:t>
            </w:r>
          </w:p>
          <w:p w:rsidR="0012623B" w:rsidRPr="00040F26" w:rsidRDefault="0063566D" w:rsidP="0012623B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-The g</w:t>
            </w:r>
            <w:r w:rsidR="0012623B" w:rsidRPr="00040F26">
              <w:rPr>
                <w:rFonts w:cstheme="minorHAnsi"/>
                <w:lang w:val="en-US"/>
              </w:rPr>
              <w:t>rowth of</w:t>
            </w:r>
            <w:r w:rsidRPr="00040F26">
              <w:rPr>
                <w:rFonts w:cstheme="minorHAnsi"/>
                <w:lang w:val="en-US"/>
              </w:rPr>
              <w:t xml:space="preserve"> the</w:t>
            </w:r>
            <w:r w:rsidR="0012623B" w:rsidRPr="00040F26">
              <w:rPr>
                <w:rFonts w:cstheme="minorHAnsi"/>
                <w:lang w:val="en-US"/>
              </w:rPr>
              <w:t xml:space="preserve"> capitalization of the </w:t>
            </w:r>
            <w:r w:rsidRPr="00040F26">
              <w:rPr>
                <w:rFonts w:cstheme="minorHAnsi"/>
                <w:lang w:val="en-US"/>
              </w:rPr>
              <w:t>crypto</w:t>
            </w:r>
            <w:r w:rsidR="0012623B" w:rsidRPr="00040F26">
              <w:rPr>
                <w:rFonts w:cstheme="minorHAnsi"/>
                <w:lang w:val="en-US"/>
              </w:rPr>
              <w:t xml:space="preserve"> market due to</w:t>
            </w:r>
            <w:r w:rsidR="00774A8F" w:rsidRPr="00040F26">
              <w:rPr>
                <w:rFonts w:cstheme="minorHAnsi"/>
                <w:lang w:val="en-US"/>
              </w:rPr>
              <w:t xml:space="preserve"> the</w:t>
            </w:r>
            <w:r w:rsidR="0012623B" w:rsidRPr="00040F26">
              <w:rPr>
                <w:rFonts w:cstheme="minorHAnsi"/>
                <w:lang w:val="en-US"/>
              </w:rPr>
              <w:t xml:space="preserve"> d</w:t>
            </w:r>
            <w:r w:rsidRPr="00040F26">
              <w:rPr>
                <w:rFonts w:cstheme="minorHAnsi"/>
                <w:lang w:val="en-US"/>
              </w:rPr>
              <w:t>eflation of basic cryptocurrencies,</w:t>
            </w:r>
            <w:r w:rsidR="0012623B" w:rsidRPr="00040F26">
              <w:rPr>
                <w:rFonts w:cstheme="minorHAnsi"/>
                <w:lang w:val="en-US"/>
              </w:rPr>
              <w:t xml:space="preserve"> and</w:t>
            </w:r>
            <w:r w:rsidRPr="00040F26">
              <w:rPr>
                <w:rFonts w:cstheme="minorHAnsi"/>
                <w:lang w:val="en-US"/>
              </w:rPr>
              <w:t xml:space="preserve"> the global switch</w:t>
            </w:r>
            <w:r w:rsidR="0012623B" w:rsidRPr="00040F26">
              <w:rPr>
                <w:rFonts w:cstheme="minorHAnsi"/>
                <w:lang w:val="en-US"/>
              </w:rPr>
              <w:t xml:space="preserve"> from centralized register</w:t>
            </w:r>
            <w:r w:rsidRPr="00040F26">
              <w:rPr>
                <w:rFonts w:cstheme="minorHAnsi"/>
                <w:lang w:val="en-US"/>
              </w:rPr>
              <w:t>s</w:t>
            </w:r>
            <w:r w:rsidR="0012623B" w:rsidRPr="00040F26">
              <w:rPr>
                <w:rFonts w:cstheme="minorHAnsi"/>
                <w:lang w:val="en-US"/>
              </w:rPr>
              <w:t xml:space="preserve"> </w:t>
            </w:r>
            <w:r w:rsidRPr="00040F26">
              <w:rPr>
                <w:rFonts w:cstheme="minorHAnsi"/>
                <w:lang w:val="en-US"/>
              </w:rPr>
              <w:t>to</w:t>
            </w:r>
            <w:r w:rsidR="0012623B" w:rsidRPr="00040F26">
              <w:rPr>
                <w:rFonts w:cstheme="minorHAnsi"/>
                <w:lang w:val="en-US"/>
              </w:rPr>
              <w:t xml:space="preserve"> blockchain.</w:t>
            </w:r>
          </w:p>
          <w:p w:rsidR="004C413D" w:rsidRPr="00040F26" w:rsidRDefault="004C413D" w:rsidP="00077425">
            <w:pPr>
              <w:rPr>
                <w:rFonts w:cstheme="minorHAnsi"/>
                <w:b/>
                <w:lang w:val="en-US"/>
              </w:rPr>
            </w:pPr>
          </w:p>
        </w:tc>
      </w:tr>
      <w:tr w:rsidR="004C413D" w:rsidRPr="00040F26" w:rsidTr="00077425">
        <w:trPr>
          <w:trHeight w:val="333"/>
        </w:trPr>
        <w:tc>
          <w:tcPr>
            <w:tcW w:w="2830" w:type="dxa"/>
          </w:tcPr>
          <w:p w:rsidR="004C413D" w:rsidRPr="00040F26" w:rsidRDefault="007F72CC" w:rsidP="00077425">
            <w:pPr>
              <w:rPr>
                <w:rFonts w:cstheme="minorHAnsi"/>
                <w:b/>
              </w:rPr>
            </w:pPr>
            <w:r w:rsidRPr="00040F26">
              <w:rPr>
                <w:rFonts w:cstheme="minorHAnsi"/>
                <w:b/>
                <w:lang w:val="en-US"/>
              </w:rPr>
              <w:t xml:space="preserve">General market </w:t>
            </w:r>
            <w:r w:rsidR="00125FA2" w:rsidRPr="00040F26">
              <w:rPr>
                <w:rFonts w:cstheme="minorHAnsi"/>
                <w:b/>
                <w:lang w:val="en-US"/>
              </w:rPr>
              <w:t>characteristics</w:t>
            </w:r>
          </w:p>
        </w:tc>
        <w:tc>
          <w:tcPr>
            <w:tcW w:w="6515" w:type="dxa"/>
          </w:tcPr>
          <w:p w:rsidR="004C413D" w:rsidRPr="00040F26" w:rsidRDefault="007F72CC" w:rsidP="007F72CC">
            <w:pPr>
              <w:pStyle w:val="a3"/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-Classic human asset management still dominates the market with </w:t>
            </w:r>
            <w:r w:rsidR="00125FA2" w:rsidRPr="00040F26">
              <w:rPr>
                <w:rFonts w:cstheme="minorHAnsi"/>
                <w:lang w:val="en-US"/>
              </w:rPr>
              <w:t>over</w:t>
            </w:r>
            <w:r w:rsidR="00774A8F" w:rsidRPr="00040F26">
              <w:rPr>
                <w:rFonts w:cstheme="minorHAnsi"/>
                <w:lang w:val="en-US"/>
              </w:rPr>
              <w:t xml:space="preserve"> 120 trillion </w:t>
            </w:r>
            <w:r w:rsidR="00125FA2" w:rsidRPr="00040F26">
              <w:rPr>
                <w:rFonts w:cstheme="minorHAnsi"/>
                <w:lang w:val="en-US"/>
              </w:rPr>
              <w:t>i</w:t>
            </w:r>
            <w:r w:rsidRPr="00040F26">
              <w:rPr>
                <w:rFonts w:cstheme="minorHAnsi"/>
                <w:lang w:val="en-US"/>
              </w:rPr>
              <w:t>n assets</w:t>
            </w:r>
            <w:r w:rsidR="000413B9" w:rsidRPr="00040F26">
              <w:rPr>
                <w:rStyle w:val="a8"/>
                <w:rFonts w:cstheme="minorHAnsi"/>
              </w:rPr>
              <w:footnoteReference w:id="4"/>
            </w:r>
            <w:r w:rsidRPr="00040F26">
              <w:rPr>
                <w:rFonts w:cstheme="minorHAnsi"/>
                <w:lang w:val="en-US"/>
              </w:rPr>
              <w:t>. However,</w:t>
            </w:r>
            <w:r w:rsidR="00774A8F" w:rsidRPr="00040F26">
              <w:rPr>
                <w:rFonts w:cstheme="minorHAnsi"/>
                <w:lang w:val="en-US"/>
              </w:rPr>
              <w:t xml:space="preserve"> the</w:t>
            </w:r>
            <w:r w:rsidRPr="00040F26">
              <w:rPr>
                <w:rFonts w:cstheme="minorHAnsi"/>
                <w:lang w:val="en-US"/>
              </w:rPr>
              <w:t xml:space="preserve"> computer welfare management (</w:t>
            </w:r>
            <w:proofErr w:type="spellStart"/>
            <w:r w:rsidRPr="00040F26">
              <w:rPr>
                <w:rFonts w:cstheme="minorHAnsi"/>
                <w:lang w:val="en-US"/>
              </w:rPr>
              <w:t>Robo</w:t>
            </w:r>
            <w:proofErr w:type="spellEnd"/>
            <w:r w:rsidRPr="00040F26">
              <w:rPr>
                <w:rFonts w:cstheme="minorHAnsi"/>
                <w:lang w:val="en-US"/>
              </w:rPr>
              <w:t>-advis</w:t>
            </w:r>
            <w:r w:rsidR="00774A8F" w:rsidRPr="00040F26">
              <w:rPr>
                <w:rFonts w:cstheme="minorHAnsi"/>
                <w:lang w:val="en-US"/>
              </w:rPr>
              <w:t>ors) are intensively increasing the market share. This</w:t>
            </w:r>
            <w:r w:rsidR="00125FA2" w:rsidRPr="00040F26">
              <w:rPr>
                <w:rFonts w:cstheme="minorHAnsi"/>
                <w:lang w:val="en-US"/>
              </w:rPr>
              <w:t xml:space="preserve"> happens</w:t>
            </w:r>
            <w:r w:rsidRPr="00040F26">
              <w:rPr>
                <w:rFonts w:cstheme="minorHAnsi"/>
                <w:lang w:val="en-US"/>
              </w:rPr>
              <w:t xml:space="preserve"> due to new small</w:t>
            </w:r>
            <w:r w:rsidR="00125FA2" w:rsidRPr="00040F26">
              <w:rPr>
                <w:rFonts w:cstheme="minorHAnsi"/>
                <w:lang w:val="en-US"/>
              </w:rPr>
              <w:t>-scale clients</w:t>
            </w:r>
            <w:r w:rsidR="00D540C8" w:rsidRPr="00040F26">
              <w:rPr>
                <w:rFonts w:cstheme="minorHAnsi"/>
                <w:lang w:val="en-US"/>
              </w:rPr>
              <w:t xml:space="preserve"> who are interested in the technology because it </w:t>
            </w:r>
            <w:r w:rsidR="00125FA2" w:rsidRPr="00040F26">
              <w:rPr>
                <w:rFonts w:cstheme="minorHAnsi"/>
                <w:lang w:val="en-US"/>
              </w:rPr>
              <w:t>cheapens the investment process; this</w:t>
            </w:r>
            <w:r w:rsidRPr="00040F26">
              <w:rPr>
                <w:rFonts w:cstheme="minorHAnsi"/>
                <w:lang w:val="en-US"/>
              </w:rPr>
              <w:t xml:space="preserve"> allows </w:t>
            </w:r>
            <w:r w:rsidR="00125FA2" w:rsidRPr="00040F26">
              <w:rPr>
                <w:rFonts w:cstheme="minorHAnsi"/>
                <w:lang w:val="en-US"/>
              </w:rPr>
              <w:t>reducing</w:t>
            </w:r>
            <w:r w:rsidR="00D540C8" w:rsidRPr="00040F26">
              <w:rPr>
                <w:rFonts w:cstheme="minorHAnsi"/>
                <w:lang w:val="en-US"/>
              </w:rPr>
              <w:t xml:space="preserve"> of</w:t>
            </w:r>
            <w:r w:rsidRPr="00040F26">
              <w:rPr>
                <w:rFonts w:cstheme="minorHAnsi"/>
                <w:lang w:val="en-US"/>
              </w:rPr>
              <w:t xml:space="preserve"> the investment threshold.</w:t>
            </w:r>
            <w:r w:rsidR="00FE7C63" w:rsidRPr="00040F26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4436663" cy="2111749"/>
                  <wp:effectExtent l="0" t="0" r="2540" b="3175"/>
                  <wp:docPr id="1" name="Рисунок 1" descr="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181" cy="21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D53" w:rsidRPr="00040F26" w:rsidRDefault="00F97D53" w:rsidP="00F97D53">
            <w:pPr>
              <w:pStyle w:val="a3"/>
              <w:rPr>
                <w:rFonts w:cstheme="minorHAnsi"/>
                <w:lang w:val="en-US"/>
              </w:rPr>
            </w:pPr>
          </w:p>
          <w:p w:rsidR="00FE7C63" w:rsidRPr="00040F26" w:rsidRDefault="000413B9" w:rsidP="00D40CDE">
            <w:pPr>
              <w:pStyle w:val="a3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proofErr w:type="spellStart"/>
            <w:r w:rsidRPr="00040F26">
              <w:rPr>
                <w:rFonts w:cstheme="minorHAnsi"/>
                <w:lang w:val="en-US"/>
              </w:rPr>
              <w:t>Wealthman’s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 closest competitor is called</w:t>
            </w:r>
            <w:r w:rsidR="00A3198B" w:rsidRPr="00040F26">
              <w:rPr>
                <w:rFonts w:cstheme="minorHAnsi"/>
                <w:lang w:val="en-US"/>
              </w:rPr>
              <w:t xml:space="preserve"> </w:t>
            </w:r>
            <w:r w:rsidR="00B361F3" w:rsidRPr="00040F26">
              <w:rPr>
                <w:rFonts w:cstheme="minorHAnsi"/>
                <w:lang w:val="en-US"/>
              </w:rPr>
              <w:t>Enigma Catalyst</w:t>
            </w:r>
            <w:r w:rsidR="00B361F3" w:rsidRPr="00040F26">
              <w:rPr>
                <w:rStyle w:val="a8"/>
                <w:rFonts w:cstheme="minorHAnsi"/>
                <w:lang w:val="en-US"/>
              </w:rPr>
              <w:footnoteReference w:id="5"/>
            </w:r>
            <w:r w:rsidR="00A3198B" w:rsidRPr="00040F26">
              <w:rPr>
                <w:rFonts w:cstheme="minorHAnsi"/>
                <w:lang w:val="en-US"/>
              </w:rPr>
              <w:t xml:space="preserve">. </w:t>
            </w:r>
            <w:r w:rsidRPr="00040F26">
              <w:rPr>
                <w:rFonts w:cstheme="minorHAnsi"/>
                <w:lang w:val="en-US"/>
              </w:rPr>
              <w:t>This service is in the development</w:t>
            </w:r>
            <w:r w:rsidR="00D540C8" w:rsidRPr="00040F26">
              <w:rPr>
                <w:rFonts w:cstheme="minorHAnsi"/>
                <w:lang w:val="en-US"/>
              </w:rPr>
              <w:t xml:space="preserve"> process</w:t>
            </w:r>
            <w:r w:rsidRPr="00040F26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040F26">
              <w:rPr>
                <w:rFonts w:cstheme="minorHAnsi"/>
                <w:lang w:val="en-US"/>
              </w:rPr>
              <w:t>at the moment</w:t>
            </w:r>
            <w:proofErr w:type="gramEnd"/>
            <w:r w:rsidR="00A3198B" w:rsidRPr="00040F26">
              <w:rPr>
                <w:rFonts w:cstheme="minorHAnsi"/>
                <w:lang w:val="en-US"/>
              </w:rPr>
              <w:t>.</w:t>
            </w:r>
          </w:p>
          <w:p w:rsidR="00D40CDE" w:rsidRPr="00040F26" w:rsidRDefault="00D40CDE" w:rsidP="00D40CDE">
            <w:pPr>
              <w:rPr>
                <w:rFonts w:cstheme="minorHAnsi"/>
                <w:lang w:val="en-US"/>
              </w:rPr>
            </w:pPr>
          </w:p>
        </w:tc>
      </w:tr>
      <w:tr w:rsidR="00077425" w:rsidRPr="00040F26" w:rsidTr="00077425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830" w:type="dxa"/>
          </w:tcPr>
          <w:p w:rsidR="00077425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Key shareholders and executives</w:t>
            </w:r>
          </w:p>
        </w:tc>
        <w:tc>
          <w:tcPr>
            <w:tcW w:w="6515" w:type="dxa"/>
          </w:tcPr>
          <w:p w:rsidR="00077425" w:rsidRPr="00040F26" w:rsidRDefault="000413B9" w:rsidP="00077425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b/>
                <w:lang w:val="en-US"/>
              </w:rPr>
              <w:t>Major shareholders</w:t>
            </w:r>
            <w:r w:rsidR="00F14246" w:rsidRPr="00040F26">
              <w:rPr>
                <w:rFonts w:cstheme="minorHAnsi"/>
                <w:b/>
                <w:lang w:val="en-US"/>
              </w:rPr>
              <w:t>:</w:t>
            </w:r>
            <w:r w:rsidR="00F14246" w:rsidRPr="00040F26">
              <w:rPr>
                <w:rFonts w:cstheme="minorHAnsi"/>
                <w:lang w:val="en-US"/>
              </w:rPr>
              <w:t xml:space="preserve"> </w:t>
            </w:r>
            <w:r w:rsidRPr="00040F26">
              <w:rPr>
                <w:rFonts w:cstheme="minorHAnsi"/>
                <w:lang w:val="en-US"/>
              </w:rPr>
              <w:t xml:space="preserve">Mera Capital Wealth Management, </w:t>
            </w:r>
            <w:r w:rsidR="009F0B86" w:rsidRPr="00040F26">
              <w:rPr>
                <w:rFonts w:cstheme="minorHAnsi"/>
                <w:lang w:val="en-US"/>
              </w:rPr>
              <w:t>LTD.</w:t>
            </w:r>
          </w:p>
          <w:p w:rsidR="00F14246" w:rsidRPr="00040F26" w:rsidRDefault="00F14246" w:rsidP="00F14246">
            <w:pPr>
              <w:rPr>
                <w:rFonts w:cstheme="minorHAnsi"/>
                <w:lang w:val="en-US"/>
              </w:rPr>
            </w:pP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Key executives: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Andrey </w:t>
            </w:r>
            <w:proofErr w:type="spellStart"/>
            <w:r w:rsidRPr="00040F26">
              <w:rPr>
                <w:rFonts w:cstheme="minorHAnsi"/>
                <w:lang w:val="en-US"/>
              </w:rPr>
              <w:t>Huseu</w:t>
            </w:r>
            <w:proofErr w:type="spellEnd"/>
            <w:r w:rsidR="00A07CA6" w:rsidRPr="00040F26">
              <w:rPr>
                <w:rFonts w:cstheme="minorHAnsi"/>
                <w:lang w:val="en-US"/>
              </w:rPr>
              <w:t>, CEO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Managing Partner of </w:t>
            </w:r>
            <w:r w:rsidR="00A07CA6" w:rsidRPr="00040F26">
              <w:rPr>
                <w:rFonts w:cstheme="minorHAnsi"/>
                <w:lang w:val="en-US"/>
              </w:rPr>
              <w:t>the invest-</w:t>
            </w:r>
            <w:r w:rsidRPr="00040F26">
              <w:rPr>
                <w:rFonts w:cstheme="minorHAnsi"/>
                <w:lang w:val="en-US"/>
              </w:rPr>
              <w:t>banking Group "</w:t>
            </w:r>
            <w:r w:rsidR="00A07CA6" w:rsidRPr="00040F26">
              <w:rPr>
                <w:rFonts w:cstheme="minorHAnsi"/>
                <w:lang w:val="en-US"/>
              </w:rPr>
              <w:t>Mera</w:t>
            </w:r>
            <w:r w:rsidRPr="00040F26">
              <w:rPr>
                <w:rFonts w:cstheme="minorHAnsi"/>
                <w:lang w:val="en-US"/>
              </w:rPr>
              <w:t xml:space="preserve"> Capital" (AUM </w:t>
            </w:r>
            <w:r w:rsidR="00A07CA6" w:rsidRPr="00040F26">
              <w:rPr>
                <w:rFonts w:cstheme="minorHAnsi"/>
                <w:lang w:val="en-US"/>
              </w:rPr>
              <w:t>~$</w:t>
            </w:r>
            <w:r w:rsidRPr="00040F26">
              <w:rPr>
                <w:rFonts w:cstheme="minorHAnsi"/>
                <w:lang w:val="en-US"/>
              </w:rPr>
              <w:t xml:space="preserve">100 million), </w:t>
            </w:r>
            <w:proofErr w:type="gramStart"/>
            <w:r w:rsidRPr="00040F26">
              <w:rPr>
                <w:rFonts w:cstheme="minorHAnsi"/>
                <w:lang w:val="en-US"/>
              </w:rPr>
              <w:t>Master in Finance</w:t>
            </w:r>
            <w:proofErr w:type="gramEnd"/>
            <w:r w:rsidRPr="00040F26">
              <w:rPr>
                <w:rFonts w:cstheme="minorHAnsi"/>
                <w:lang w:val="en-US"/>
              </w:rPr>
              <w:t>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Olga Pershina, </w:t>
            </w:r>
            <w:r w:rsidR="00A07CA6" w:rsidRPr="00040F26">
              <w:rPr>
                <w:rFonts w:cstheme="minorHAnsi"/>
                <w:lang w:val="en-US"/>
              </w:rPr>
              <w:t>CFO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Managing Partner </w:t>
            </w:r>
            <w:r w:rsidR="00A07CA6" w:rsidRPr="00040F26">
              <w:rPr>
                <w:rFonts w:cstheme="minorHAnsi"/>
                <w:lang w:val="en-US"/>
              </w:rPr>
              <w:t>of the invest-</w:t>
            </w:r>
            <w:r w:rsidRPr="00040F26">
              <w:rPr>
                <w:rFonts w:cstheme="minorHAnsi"/>
                <w:lang w:val="en-US"/>
              </w:rPr>
              <w:t>banking Group "</w:t>
            </w:r>
            <w:r w:rsidR="00A07CA6" w:rsidRPr="00040F26">
              <w:rPr>
                <w:rFonts w:cstheme="minorHAnsi"/>
                <w:lang w:val="en-US"/>
              </w:rPr>
              <w:t>Mera</w:t>
            </w:r>
            <w:r w:rsidRPr="00040F26">
              <w:rPr>
                <w:rFonts w:cstheme="minorHAnsi"/>
                <w:lang w:val="en-US"/>
              </w:rPr>
              <w:t xml:space="preserve"> Capital". More than 10 years of experience in</w:t>
            </w:r>
            <w:r w:rsidR="00A07CA6" w:rsidRPr="00040F26">
              <w:rPr>
                <w:rFonts w:cstheme="minorHAnsi"/>
                <w:lang w:val="en-US"/>
              </w:rPr>
              <w:t xml:space="preserve"> invest-</w:t>
            </w:r>
            <w:proofErr w:type="gramStart"/>
            <w:r w:rsidR="00A07CA6" w:rsidRPr="00040F26">
              <w:rPr>
                <w:rFonts w:cstheme="minorHAnsi"/>
                <w:lang w:val="en-US"/>
              </w:rPr>
              <w:t>banking</w:t>
            </w:r>
            <w:r w:rsidRPr="00040F26">
              <w:rPr>
                <w:rFonts w:cstheme="minorHAnsi"/>
                <w:lang w:val="en-US"/>
              </w:rPr>
              <w:t> </w:t>
            </w:r>
            <w:r w:rsidR="00A07CA6" w:rsidRPr="00040F26">
              <w:rPr>
                <w:rFonts w:cstheme="minorHAnsi"/>
                <w:lang w:val="en-US"/>
              </w:rPr>
              <w:t xml:space="preserve"> business</w:t>
            </w:r>
            <w:proofErr w:type="gramEnd"/>
            <w:r w:rsidR="00A07CA6" w:rsidRPr="00040F26">
              <w:rPr>
                <w:rFonts w:cstheme="minorHAnsi"/>
                <w:lang w:val="en-US"/>
              </w:rPr>
              <w:t>, "MNTO</w:t>
            </w:r>
            <w:r w:rsidRPr="00040F26">
              <w:rPr>
                <w:rFonts w:cstheme="minorHAnsi"/>
                <w:lang w:val="en-US"/>
              </w:rPr>
              <w:t> INSET", "KIT Finance", "SMART Securities".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A07CA6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Alexander Bayov, D</w:t>
            </w:r>
            <w:r w:rsidR="000413B9" w:rsidRPr="00040F26">
              <w:rPr>
                <w:rFonts w:cstheme="minorHAnsi"/>
                <w:lang w:val="en-US"/>
              </w:rPr>
              <w:t>irector</w:t>
            </w:r>
            <w:r w:rsidRPr="00040F26">
              <w:rPr>
                <w:rFonts w:cstheme="minorHAnsi"/>
                <w:lang w:val="en-US"/>
              </w:rPr>
              <w:t xml:space="preserve"> of Strategy 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lastRenderedPageBreak/>
              <w:t xml:space="preserve">15 years in </w:t>
            </w:r>
            <w:r w:rsidR="00A07CA6" w:rsidRPr="00040F26">
              <w:rPr>
                <w:rFonts w:cstheme="minorHAnsi"/>
                <w:lang w:val="en-US"/>
              </w:rPr>
              <w:t>invest-banking business and asset m</w:t>
            </w:r>
            <w:r w:rsidRPr="00040F26">
              <w:rPr>
                <w:rFonts w:cstheme="minorHAnsi"/>
                <w:lang w:val="en-US"/>
              </w:rPr>
              <w:t>anagement, including Ernst &amp; Young, Belgravia Wealth management, Castle Family Office, Russian-Cuban Investment Fund (RCIF).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3E423E" w:rsidP="000413B9">
            <w:pPr>
              <w:rPr>
                <w:rFonts w:cstheme="minorHAnsi"/>
                <w:lang w:val="en-US"/>
              </w:rPr>
            </w:pPr>
            <w:proofErr w:type="spellStart"/>
            <w:r w:rsidRPr="00040F26">
              <w:rPr>
                <w:rFonts w:cstheme="minorHAnsi"/>
                <w:lang w:val="en-US"/>
              </w:rPr>
              <w:t>Evgeny</w:t>
            </w:r>
            <w:proofErr w:type="spellEnd"/>
            <w:r w:rsidRPr="00040F2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40F26">
              <w:rPr>
                <w:rFonts w:cstheme="minorHAnsi"/>
                <w:lang w:val="en-US"/>
              </w:rPr>
              <w:t>Matyushkin</w:t>
            </w:r>
            <w:proofErr w:type="spellEnd"/>
            <w:r w:rsidRPr="00040F26">
              <w:rPr>
                <w:rFonts w:cstheme="minorHAnsi"/>
                <w:lang w:val="en-US"/>
              </w:rPr>
              <w:t>, Head of Legal D</w:t>
            </w:r>
            <w:r w:rsidR="000413B9" w:rsidRPr="00040F26">
              <w:rPr>
                <w:rFonts w:cstheme="minorHAnsi"/>
                <w:lang w:val="en-US"/>
              </w:rPr>
              <w:t>epartment</w:t>
            </w:r>
          </w:p>
          <w:p w:rsidR="000413B9" w:rsidRPr="00040F26" w:rsidRDefault="003E423E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Encyclopedia man, the winner of many erudition contests; career in M</w:t>
            </w:r>
            <w:r w:rsidR="000413B9" w:rsidRPr="00040F26">
              <w:rPr>
                <w:rFonts w:cstheme="minorHAnsi"/>
                <w:lang w:val="en-US"/>
              </w:rPr>
              <w:t>inis</w:t>
            </w:r>
            <w:r w:rsidRPr="00040F26">
              <w:rPr>
                <w:rFonts w:cstheme="minorHAnsi"/>
                <w:lang w:val="en-US"/>
              </w:rPr>
              <w:t>try of L</w:t>
            </w:r>
            <w:r w:rsidR="000413B9" w:rsidRPr="00040F26">
              <w:rPr>
                <w:rFonts w:cstheme="minorHAnsi"/>
                <w:lang w:val="en-US"/>
              </w:rPr>
              <w:t>aw</w:t>
            </w:r>
            <w:r w:rsidRPr="00040F26">
              <w:rPr>
                <w:rFonts w:cstheme="minorHAnsi"/>
                <w:lang w:val="en-US"/>
              </w:rPr>
              <w:t xml:space="preserve"> and legal company called</w:t>
            </w:r>
            <w:r w:rsidR="000413B9" w:rsidRPr="00040F26">
              <w:rPr>
                <w:rFonts w:cstheme="minorHAnsi"/>
                <w:lang w:val="en-US"/>
              </w:rPr>
              <w:t> </w:t>
            </w:r>
            <w:proofErr w:type="spellStart"/>
            <w:r w:rsidR="000413B9" w:rsidRPr="00040F26">
              <w:rPr>
                <w:rFonts w:cstheme="minorHAnsi"/>
                <w:lang w:val="en-US"/>
              </w:rPr>
              <w:t>Maltsev</w:t>
            </w:r>
            <w:proofErr w:type="spellEnd"/>
            <w:r w:rsidR="000413B9" w:rsidRPr="00040F26">
              <w:rPr>
                <w:rFonts w:cstheme="minorHAnsi"/>
                <w:lang w:val="en-US"/>
              </w:rPr>
              <w:t> and Partners.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3E423E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Dmitriy Khan, Head of </w:t>
            </w:r>
            <w:r w:rsidR="000413B9" w:rsidRPr="00040F26">
              <w:rPr>
                <w:rFonts w:cstheme="minorHAnsi"/>
                <w:lang w:val="en-US"/>
              </w:rPr>
              <w:t>Software Development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10 years in the development of enterprise-level software systems,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Managing partner and deputy director of the Center for Science and Technology of ITMO University.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814881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Kirill </w:t>
            </w:r>
            <w:proofErr w:type="spellStart"/>
            <w:r w:rsidRPr="00040F26">
              <w:rPr>
                <w:rFonts w:cstheme="minorHAnsi"/>
                <w:lang w:val="en-US"/>
              </w:rPr>
              <w:t>Razgulyaev</w:t>
            </w:r>
            <w:proofErr w:type="spellEnd"/>
            <w:r w:rsidRPr="00040F26">
              <w:rPr>
                <w:rFonts w:cstheme="minorHAnsi"/>
                <w:lang w:val="en-US"/>
              </w:rPr>
              <w:t>, M</w:t>
            </w:r>
            <w:r w:rsidR="000413B9" w:rsidRPr="00040F26">
              <w:rPr>
                <w:rFonts w:cstheme="minorHAnsi"/>
                <w:lang w:val="en-US"/>
              </w:rPr>
              <w:t>ember of Department of Software Development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Managing partner of the Science and Techn</w:t>
            </w:r>
            <w:r w:rsidR="00814881" w:rsidRPr="00040F26">
              <w:rPr>
                <w:rFonts w:cstheme="minorHAnsi"/>
                <w:lang w:val="en-US"/>
              </w:rPr>
              <w:t xml:space="preserve">ology Centre at </w:t>
            </w:r>
            <w:r w:rsidR="00D540C8" w:rsidRPr="00040F26">
              <w:rPr>
                <w:rFonts w:cstheme="minorHAnsi"/>
                <w:lang w:val="en-US"/>
              </w:rPr>
              <w:t>ITMO</w:t>
            </w:r>
            <w:r w:rsidR="00814881" w:rsidRPr="00040F26">
              <w:rPr>
                <w:rFonts w:cstheme="minorHAnsi"/>
                <w:lang w:val="en-US"/>
              </w:rPr>
              <w:t xml:space="preserve"> University,</w:t>
            </w:r>
            <w:r w:rsidRPr="00040F2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40F26">
              <w:rPr>
                <w:rFonts w:cstheme="minorHAnsi"/>
                <w:lang w:val="en-US"/>
              </w:rPr>
              <w:t>Neote</w:t>
            </w:r>
            <w:r w:rsidR="00814881" w:rsidRPr="00040F26">
              <w:rPr>
                <w:rFonts w:cstheme="minorHAnsi"/>
                <w:lang w:val="en-US"/>
              </w:rPr>
              <w:t>c</w:t>
            </w:r>
            <w:r w:rsidRPr="00040F26">
              <w:rPr>
                <w:rFonts w:cstheme="minorHAnsi"/>
                <w:lang w:val="en-US"/>
              </w:rPr>
              <w:t>h</w:t>
            </w:r>
            <w:proofErr w:type="spellEnd"/>
            <w:r w:rsidRPr="00040F26">
              <w:rPr>
                <w:rFonts w:cstheme="minorHAnsi"/>
                <w:lang w:val="en-US"/>
              </w:rPr>
              <w:t>, and the Institute of Regional Innovation Systems.</w:t>
            </w:r>
          </w:p>
          <w:p w:rsidR="000413B9" w:rsidRPr="00040F26" w:rsidRDefault="000413B9" w:rsidP="000413B9">
            <w:pPr>
              <w:rPr>
                <w:rFonts w:cstheme="minorHAnsi"/>
                <w:lang w:val="en-US"/>
              </w:rPr>
            </w:pPr>
          </w:p>
          <w:p w:rsidR="000413B9" w:rsidRPr="00040F26" w:rsidRDefault="00814881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 xml:space="preserve">Denis </w:t>
            </w:r>
            <w:proofErr w:type="spellStart"/>
            <w:r w:rsidRPr="00040F26">
              <w:rPr>
                <w:rFonts w:cstheme="minorHAnsi"/>
                <w:lang w:val="en-US"/>
              </w:rPr>
              <w:t>Kus</w:t>
            </w:r>
            <w:proofErr w:type="spellEnd"/>
            <w:r w:rsidR="000413B9" w:rsidRPr="00040F26">
              <w:rPr>
                <w:rFonts w:cstheme="minorHAnsi"/>
                <w:lang w:val="en-US"/>
              </w:rPr>
              <w:t>, software engineer</w:t>
            </w:r>
          </w:p>
          <w:p w:rsidR="000413B9" w:rsidRPr="00040F26" w:rsidRDefault="00814881" w:rsidP="000413B9">
            <w:pPr>
              <w:rPr>
                <w:rFonts w:cstheme="minorHAnsi"/>
                <w:lang w:val="en-US"/>
              </w:rPr>
            </w:pPr>
            <w:r w:rsidRPr="00040F26">
              <w:rPr>
                <w:rFonts w:cstheme="minorHAnsi"/>
                <w:lang w:val="en-US"/>
              </w:rPr>
              <w:t>More than</w:t>
            </w:r>
            <w:r w:rsidR="000413B9" w:rsidRPr="00040F26">
              <w:rPr>
                <w:rFonts w:cstheme="minorHAnsi"/>
                <w:lang w:val="en-US"/>
              </w:rPr>
              <w:t> 7 years of experience in project management</w:t>
            </w:r>
            <w:r w:rsidRPr="00040F26">
              <w:rPr>
                <w:rFonts w:cstheme="minorHAnsi"/>
                <w:lang w:val="en-US"/>
              </w:rPr>
              <w:t xml:space="preserve"> and software development; AFC system and </w:t>
            </w:r>
            <w:proofErr w:type="spellStart"/>
            <w:r w:rsidRPr="00040F26">
              <w:rPr>
                <w:rFonts w:cstheme="minorHAnsi"/>
                <w:lang w:val="en-US"/>
              </w:rPr>
              <w:t>Tranzas</w:t>
            </w:r>
            <w:proofErr w:type="spellEnd"/>
            <w:r w:rsidRPr="00040F26">
              <w:rPr>
                <w:rFonts w:cstheme="minorHAnsi"/>
                <w:lang w:val="en-US"/>
              </w:rPr>
              <w:t>, </w:t>
            </w:r>
            <w:proofErr w:type="spellStart"/>
            <w:r w:rsidRPr="00040F26">
              <w:rPr>
                <w:rFonts w:cstheme="minorHAnsi"/>
                <w:lang w:val="en-US"/>
              </w:rPr>
              <w:t>Azimut</w:t>
            </w:r>
            <w:proofErr w:type="spellEnd"/>
            <w:r w:rsidR="000413B9" w:rsidRPr="00040F26">
              <w:rPr>
                <w:rFonts w:cstheme="minorHAnsi"/>
                <w:lang w:val="en-US"/>
              </w:rPr>
              <w:t>.</w:t>
            </w:r>
          </w:p>
          <w:p w:rsidR="00F14246" w:rsidRPr="00040F26" w:rsidRDefault="00F14246" w:rsidP="00F14246">
            <w:pPr>
              <w:rPr>
                <w:rFonts w:cstheme="minorHAnsi"/>
                <w:lang w:val="en-US"/>
              </w:rPr>
            </w:pPr>
          </w:p>
        </w:tc>
      </w:tr>
    </w:tbl>
    <w:p w:rsidR="004C413D" w:rsidRPr="00040F26" w:rsidRDefault="004C413D">
      <w:pPr>
        <w:rPr>
          <w:rFonts w:cstheme="minorHAnsi"/>
          <w:lang w:val="en-US"/>
        </w:rPr>
      </w:pPr>
    </w:p>
    <w:p w:rsidR="004C413D" w:rsidRPr="00040F26" w:rsidRDefault="004C413D">
      <w:pPr>
        <w:rPr>
          <w:rFonts w:cstheme="minorHAnsi"/>
          <w:lang w:val="en-US"/>
        </w:rPr>
      </w:pPr>
    </w:p>
    <w:p w:rsidR="00E17D3B" w:rsidRPr="00040F26" w:rsidRDefault="00E17D3B">
      <w:pPr>
        <w:rPr>
          <w:rFonts w:cstheme="minorHAnsi"/>
          <w:lang w:val="en-US"/>
        </w:rPr>
      </w:pPr>
    </w:p>
    <w:sectPr w:rsidR="00E17D3B" w:rsidRPr="00040F26" w:rsidSect="0029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410" w:rsidRDefault="00E21410" w:rsidP="00211D37">
      <w:pPr>
        <w:spacing w:after="0" w:line="240" w:lineRule="auto"/>
      </w:pPr>
      <w:r>
        <w:separator/>
      </w:r>
    </w:p>
  </w:endnote>
  <w:endnote w:type="continuationSeparator" w:id="0">
    <w:p w:rsidR="00E21410" w:rsidRDefault="00E21410" w:rsidP="0021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410" w:rsidRDefault="00E21410" w:rsidP="00211D37">
      <w:pPr>
        <w:spacing w:after="0" w:line="240" w:lineRule="auto"/>
      </w:pPr>
      <w:r>
        <w:separator/>
      </w:r>
    </w:p>
  </w:footnote>
  <w:footnote w:type="continuationSeparator" w:id="0">
    <w:p w:rsidR="00E21410" w:rsidRDefault="00E21410" w:rsidP="00211D37">
      <w:pPr>
        <w:spacing w:after="0" w:line="240" w:lineRule="auto"/>
      </w:pPr>
      <w:r>
        <w:continuationSeparator/>
      </w:r>
    </w:p>
  </w:footnote>
  <w:footnote w:id="1">
    <w:p w:rsidR="00211D37" w:rsidRPr="00DA7C5F" w:rsidRDefault="00211D37">
      <w:pPr>
        <w:pStyle w:val="a6"/>
        <w:rPr>
          <w:lang w:val="en-US"/>
        </w:rPr>
      </w:pPr>
      <w:r>
        <w:rPr>
          <w:rStyle w:val="a8"/>
        </w:rPr>
        <w:footnoteRef/>
      </w:r>
      <w:r w:rsidRPr="00DA7C5F">
        <w:rPr>
          <w:lang w:val="en-US"/>
        </w:rPr>
        <w:t xml:space="preserve"> </w:t>
      </w:r>
      <w:r w:rsidR="00DA7C5F">
        <w:rPr>
          <w:lang w:val="en-US"/>
        </w:rPr>
        <w:t>Estimations are based on the cost of attraction of clients to</w:t>
      </w:r>
      <w:r w:rsidRPr="00DA7C5F">
        <w:rPr>
          <w:lang w:val="en-US"/>
        </w:rPr>
        <w:t xml:space="preserve"> </w:t>
      </w:r>
      <w:r>
        <w:rPr>
          <w:lang w:val="en-US"/>
        </w:rPr>
        <w:t xml:space="preserve">Betterment.com, Wealthfront.com, Charles </w:t>
      </w:r>
      <w:r w:rsidR="00AF3C05">
        <w:rPr>
          <w:lang w:val="en-US"/>
        </w:rPr>
        <w:t>Schwab</w:t>
      </w:r>
      <w:r>
        <w:rPr>
          <w:lang w:val="en-US"/>
        </w:rPr>
        <w:t xml:space="preserve"> Intelligent </w:t>
      </w:r>
      <w:r w:rsidR="00511406">
        <w:rPr>
          <w:lang w:val="en-US"/>
        </w:rPr>
        <w:t xml:space="preserve">portfolio </w:t>
      </w:r>
      <w:r w:rsidR="00DA7C5F">
        <w:rPr>
          <w:lang w:val="en-US"/>
        </w:rPr>
        <w:t xml:space="preserve">and other centralized </w:t>
      </w:r>
      <w:proofErr w:type="spellStart"/>
      <w:r w:rsidR="00DA7C5F">
        <w:rPr>
          <w:lang w:val="en-US"/>
        </w:rPr>
        <w:t>robo</w:t>
      </w:r>
      <w:proofErr w:type="spellEnd"/>
      <w:r w:rsidR="00DA7C5F">
        <w:rPr>
          <w:lang w:val="en-US"/>
        </w:rPr>
        <w:t>-advisors</w:t>
      </w:r>
      <w:r w:rsidRPr="00DA7C5F">
        <w:rPr>
          <w:lang w:val="en-US"/>
        </w:rPr>
        <w:t>.</w:t>
      </w:r>
    </w:p>
  </w:footnote>
  <w:footnote w:id="2">
    <w:p w:rsidR="00211D37" w:rsidRPr="0091787B" w:rsidRDefault="00211D37">
      <w:pPr>
        <w:pStyle w:val="a6"/>
        <w:rPr>
          <w:lang w:val="en-US"/>
        </w:rPr>
      </w:pPr>
      <w:r>
        <w:rPr>
          <w:rStyle w:val="a8"/>
        </w:rPr>
        <w:footnoteRef/>
      </w:r>
      <w:r w:rsidRPr="00DA7C5F">
        <w:rPr>
          <w:lang w:val="en-US"/>
        </w:rPr>
        <w:t xml:space="preserve">  </w:t>
      </w:r>
      <w:r w:rsidR="00DA7C5F">
        <w:rPr>
          <w:lang w:val="en-US"/>
        </w:rPr>
        <w:t>The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estimation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contains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the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expert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calculation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of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costs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of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>direct</w:t>
      </w:r>
      <w:r w:rsidR="00DA7C5F" w:rsidRPr="00DA7C5F">
        <w:rPr>
          <w:lang w:val="en-US"/>
        </w:rPr>
        <w:t xml:space="preserve"> </w:t>
      </w:r>
      <w:r w:rsidR="00DA7C5F">
        <w:rPr>
          <w:lang w:val="en-US"/>
        </w:rPr>
        <w:t xml:space="preserve">headhunting for asset managers and includes his/her tuition fees, adaptation process and the potential </w:t>
      </w:r>
      <w:r w:rsidR="0091787B">
        <w:rPr>
          <w:lang w:val="en-US"/>
        </w:rPr>
        <w:t>refusal to continue working with the platform before the adaptation period</w:t>
      </w:r>
      <w:r w:rsidR="00655124">
        <w:rPr>
          <w:lang w:val="en-US"/>
        </w:rPr>
        <w:t xml:space="preserve"> is up</w:t>
      </w:r>
      <w:r w:rsidR="0091787B">
        <w:rPr>
          <w:lang w:val="en-US"/>
        </w:rPr>
        <w:t>. The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first</w:t>
      </w:r>
      <w:r w:rsidR="0091787B" w:rsidRPr="0091787B">
        <w:rPr>
          <w:lang w:val="en-US"/>
        </w:rPr>
        <w:t xml:space="preserve"> 10 </w:t>
      </w:r>
      <w:r w:rsidR="0091787B">
        <w:rPr>
          <w:lang w:val="en-US"/>
        </w:rPr>
        <w:t>to</w:t>
      </w:r>
      <w:r w:rsidR="0091787B" w:rsidRPr="0091787B">
        <w:rPr>
          <w:lang w:val="en-US"/>
        </w:rPr>
        <w:t xml:space="preserve"> 15 </w:t>
      </w:r>
      <w:r w:rsidR="0091787B">
        <w:rPr>
          <w:lang w:val="en-US"/>
        </w:rPr>
        <w:t>wealth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managers</w:t>
      </w:r>
      <w:r w:rsidR="0091787B" w:rsidRPr="0091787B">
        <w:rPr>
          <w:lang w:val="en-US"/>
        </w:rPr>
        <w:t xml:space="preserve"> </w:t>
      </w:r>
      <w:r w:rsidR="00655124">
        <w:rPr>
          <w:lang w:val="en-US"/>
        </w:rPr>
        <w:t>that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enter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the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platform</w:t>
      </w:r>
      <w:r w:rsidR="0091787B" w:rsidRPr="0091787B">
        <w:rPr>
          <w:lang w:val="en-US"/>
        </w:rPr>
        <w:t>’</w:t>
      </w:r>
      <w:r w:rsidR="0091787B">
        <w:rPr>
          <w:lang w:val="en-US"/>
        </w:rPr>
        <w:t>s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ecosystem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will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>get</w:t>
      </w:r>
      <w:r w:rsidR="0091787B" w:rsidRPr="0091787B">
        <w:rPr>
          <w:lang w:val="en-US"/>
        </w:rPr>
        <w:t xml:space="preserve"> </w:t>
      </w:r>
      <w:r w:rsidR="0091787B">
        <w:rPr>
          <w:lang w:val="en-US"/>
        </w:rPr>
        <w:t xml:space="preserve">the </w:t>
      </w:r>
      <w:r w:rsidR="00655124">
        <w:rPr>
          <w:lang w:val="en-US"/>
        </w:rPr>
        <w:t>b</w:t>
      </w:r>
      <w:r w:rsidR="0091787B">
        <w:rPr>
          <w:lang w:val="en-US"/>
        </w:rPr>
        <w:t xml:space="preserve">onus of $20000 that Wealthman will use for the promotion of </w:t>
      </w:r>
      <w:r w:rsidR="00655124">
        <w:rPr>
          <w:lang w:val="en-US"/>
        </w:rPr>
        <w:t>their</w:t>
      </w:r>
      <w:r w:rsidR="0091787B">
        <w:rPr>
          <w:lang w:val="en-US"/>
        </w:rPr>
        <w:t xml:space="preserve"> services</w:t>
      </w:r>
      <w:r w:rsidR="00655124">
        <w:rPr>
          <w:lang w:val="en-US"/>
        </w:rPr>
        <w:t xml:space="preserve"> to clients</w:t>
      </w:r>
      <w:r w:rsidR="007B10C0" w:rsidRPr="0091787B">
        <w:rPr>
          <w:lang w:val="en-US"/>
        </w:rPr>
        <w:t>.</w:t>
      </w:r>
      <w:r w:rsidRPr="0091787B">
        <w:rPr>
          <w:lang w:val="en-US"/>
        </w:rPr>
        <w:t xml:space="preserve"> </w:t>
      </w:r>
    </w:p>
  </w:footnote>
  <w:footnote w:id="3">
    <w:p w:rsidR="007B10C0" w:rsidRPr="0091787B" w:rsidRDefault="007B10C0">
      <w:pPr>
        <w:pStyle w:val="a6"/>
        <w:rPr>
          <w:lang w:val="en-US"/>
        </w:rPr>
      </w:pPr>
      <w:r>
        <w:rPr>
          <w:rStyle w:val="a8"/>
        </w:rPr>
        <w:footnoteRef/>
      </w:r>
      <w:r w:rsidRPr="00106401">
        <w:rPr>
          <w:lang w:val="en-US"/>
        </w:rPr>
        <w:t xml:space="preserve"> </w:t>
      </w:r>
      <w:r w:rsidR="0091787B">
        <w:rPr>
          <w:lang w:val="en-US"/>
        </w:rPr>
        <w:t>Wealthman will be an oracle of the major part of insurances; on the first stage, Wealthman will be the only source of data for the platform.</w:t>
      </w:r>
    </w:p>
  </w:footnote>
  <w:footnote w:id="4">
    <w:p w:rsidR="000413B9" w:rsidRPr="0006312D" w:rsidRDefault="000413B9" w:rsidP="000413B9">
      <w:pPr>
        <w:pStyle w:val="a6"/>
        <w:rPr>
          <w:lang w:val="en-US"/>
        </w:rPr>
      </w:pPr>
      <w:r>
        <w:rPr>
          <w:rStyle w:val="a8"/>
        </w:rPr>
        <w:footnoteRef/>
      </w:r>
      <w:r w:rsidRPr="0006312D">
        <w:rPr>
          <w:lang w:val="en-US"/>
        </w:rPr>
        <w:t xml:space="preserve"> </w:t>
      </w:r>
      <w:r w:rsidRPr="0006312D">
        <w:rPr>
          <w:rFonts w:ascii="Calibri" w:hAnsi="Calibri"/>
          <w:color w:val="000000"/>
          <w:sz w:val="18"/>
          <w:szCs w:val="18"/>
          <w:lang w:val="en-US"/>
        </w:rPr>
        <w:t>2016 Credit Suisse Global Wealth Report</w:t>
      </w:r>
    </w:p>
  </w:footnote>
  <w:footnote w:id="5">
    <w:p w:rsidR="00B361F3" w:rsidRPr="0006312D" w:rsidRDefault="00B361F3">
      <w:pPr>
        <w:pStyle w:val="a6"/>
        <w:rPr>
          <w:lang w:val="en-US"/>
        </w:rPr>
      </w:pPr>
      <w:r>
        <w:rPr>
          <w:rStyle w:val="a8"/>
        </w:rPr>
        <w:footnoteRef/>
      </w:r>
      <w:r w:rsidRPr="0006312D">
        <w:rPr>
          <w:lang w:val="en-US"/>
        </w:rPr>
        <w:t xml:space="preserve"> https://enigmampc.github.io/catalyst/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52F7"/>
    <w:multiLevelType w:val="hybridMultilevel"/>
    <w:tmpl w:val="2262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9C9"/>
    <w:multiLevelType w:val="hybridMultilevel"/>
    <w:tmpl w:val="D4F8D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06F71"/>
    <w:multiLevelType w:val="hybridMultilevel"/>
    <w:tmpl w:val="30184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470D6"/>
    <w:multiLevelType w:val="hybridMultilevel"/>
    <w:tmpl w:val="A158342A"/>
    <w:lvl w:ilvl="0" w:tplc="FAAEA5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29FF"/>
    <w:multiLevelType w:val="hybridMultilevel"/>
    <w:tmpl w:val="8ABE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B232E"/>
    <w:multiLevelType w:val="hybridMultilevel"/>
    <w:tmpl w:val="1F7AF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D3B"/>
    <w:rsid w:val="0001175B"/>
    <w:rsid w:val="00040F26"/>
    <w:rsid w:val="000413B9"/>
    <w:rsid w:val="0006312D"/>
    <w:rsid w:val="00067657"/>
    <w:rsid w:val="00077425"/>
    <w:rsid w:val="000915DA"/>
    <w:rsid w:val="000C1E80"/>
    <w:rsid w:val="000D72B5"/>
    <w:rsid w:val="000E2651"/>
    <w:rsid w:val="00106401"/>
    <w:rsid w:val="00125FA2"/>
    <w:rsid w:val="0012623B"/>
    <w:rsid w:val="00143E1A"/>
    <w:rsid w:val="00176569"/>
    <w:rsid w:val="00195B06"/>
    <w:rsid w:val="001A119F"/>
    <w:rsid w:val="001C2F5A"/>
    <w:rsid w:val="001C7455"/>
    <w:rsid w:val="001D79B0"/>
    <w:rsid w:val="00211D37"/>
    <w:rsid w:val="00224413"/>
    <w:rsid w:val="00260762"/>
    <w:rsid w:val="0027592D"/>
    <w:rsid w:val="00275FE9"/>
    <w:rsid w:val="00281353"/>
    <w:rsid w:val="00292951"/>
    <w:rsid w:val="00293F4E"/>
    <w:rsid w:val="002C1A16"/>
    <w:rsid w:val="002C6A7F"/>
    <w:rsid w:val="002E48F8"/>
    <w:rsid w:val="002F1673"/>
    <w:rsid w:val="0030536B"/>
    <w:rsid w:val="0031202A"/>
    <w:rsid w:val="00316E90"/>
    <w:rsid w:val="003174F0"/>
    <w:rsid w:val="00340F0A"/>
    <w:rsid w:val="00355176"/>
    <w:rsid w:val="003674F3"/>
    <w:rsid w:val="0039656B"/>
    <w:rsid w:val="003A4E88"/>
    <w:rsid w:val="003C3896"/>
    <w:rsid w:val="003E423E"/>
    <w:rsid w:val="003F0AA7"/>
    <w:rsid w:val="003F24EF"/>
    <w:rsid w:val="0040358F"/>
    <w:rsid w:val="00433963"/>
    <w:rsid w:val="004B6BDF"/>
    <w:rsid w:val="004B7EC2"/>
    <w:rsid w:val="004C413D"/>
    <w:rsid w:val="004C6B1C"/>
    <w:rsid w:val="004D5741"/>
    <w:rsid w:val="00511406"/>
    <w:rsid w:val="00520109"/>
    <w:rsid w:val="00550F9B"/>
    <w:rsid w:val="005814A1"/>
    <w:rsid w:val="00591AF0"/>
    <w:rsid w:val="005A0CB8"/>
    <w:rsid w:val="005D2CF7"/>
    <w:rsid w:val="00606B00"/>
    <w:rsid w:val="00631BBE"/>
    <w:rsid w:val="0063566D"/>
    <w:rsid w:val="00655124"/>
    <w:rsid w:val="00665E13"/>
    <w:rsid w:val="006B6FF2"/>
    <w:rsid w:val="006F746A"/>
    <w:rsid w:val="00750FC7"/>
    <w:rsid w:val="00766D3A"/>
    <w:rsid w:val="00774A8F"/>
    <w:rsid w:val="00783FBE"/>
    <w:rsid w:val="007A63BB"/>
    <w:rsid w:val="007B10C0"/>
    <w:rsid w:val="007F3746"/>
    <w:rsid w:val="007F72CC"/>
    <w:rsid w:val="00801D63"/>
    <w:rsid w:val="00814881"/>
    <w:rsid w:val="008178F5"/>
    <w:rsid w:val="008205ED"/>
    <w:rsid w:val="00820615"/>
    <w:rsid w:val="00832ED1"/>
    <w:rsid w:val="00840FC0"/>
    <w:rsid w:val="008412C4"/>
    <w:rsid w:val="00841363"/>
    <w:rsid w:val="00844069"/>
    <w:rsid w:val="00856C1B"/>
    <w:rsid w:val="00877765"/>
    <w:rsid w:val="008A580D"/>
    <w:rsid w:val="008C4704"/>
    <w:rsid w:val="008D45EF"/>
    <w:rsid w:val="008E7E5D"/>
    <w:rsid w:val="008F2076"/>
    <w:rsid w:val="0091787B"/>
    <w:rsid w:val="00961E7A"/>
    <w:rsid w:val="00974DD1"/>
    <w:rsid w:val="009974E8"/>
    <w:rsid w:val="009A0754"/>
    <w:rsid w:val="009B1C58"/>
    <w:rsid w:val="009D6C03"/>
    <w:rsid w:val="009E244C"/>
    <w:rsid w:val="009F0B86"/>
    <w:rsid w:val="009F2179"/>
    <w:rsid w:val="00A07CA6"/>
    <w:rsid w:val="00A1207F"/>
    <w:rsid w:val="00A3198B"/>
    <w:rsid w:val="00A47EBC"/>
    <w:rsid w:val="00A57399"/>
    <w:rsid w:val="00A6569D"/>
    <w:rsid w:val="00A71993"/>
    <w:rsid w:val="00A815CB"/>
    <w:rsid w:val="00A84608"/>
    <w:rsid w:val="00A86240"/>
    <w:rsid w:val="00AB2C69"/>
    <w:rsid w:val="00AE11F3"/>
    <w:rsid w:val="00AE358A"/>
    <w:rsid w:val="00AE3C9C"/>
    <w:rsid w:val="00AE65FC"/>
    <w:rsid w:val="00AE7D0C"/>
    <w:rsid w:val="00AF3C05"/>
    <w:rsid w:val="00AF4306"/>
    <w:rsid w:val="00AF777D"/>
    <w:rsid w:val="00B005E2"/>
    <w:rsid w:val="00B212E8"/>
    <w:rsid w:val="00B33435"/>
    <w:rsid w:val="00B33B58"/>
    <w:rsid w:val="00B361F3"/>
    <w:rsid w:val="00B9367B"/>
    <w:rsid w:val="00BA3D97"/>
    <w:rsid w:val="00BA58F5"/>
    <w:rsid w:val="00BB6D2A"/>
    <w:rsid w:val="00BE3257"/>
    <w:rsid w:val="00BF3587"/>
    <w:rsid w:val="00C22AF3"/>
    <w:rsid w:val="00C25C74"/>
    <w:rsid w:val="00C36A15"/>
    <w:rsid w:val="00C506D6"/>
    <w:rsid w:val="00C623ED"/>
    <w:rsid w:val="00C9117D"/>
    <w:rsid w:val="00CB1E6C"/>
    <w:rsid w:val="00CB61FB"/>
    <w:rsid w:val="00CC0566"/>
    <w:rsid w:val="00CE3851"/>
    <w:rsid w:val="00CF19E6"/>
    <w:rsid w:val="00D17720"/>
    <w:rsid w:val="00D4095F"/>
    <w:rsid w:val="00D40CDE"/>
    <w:rsid w:val="00D46CFB"/>
    <w:rsid w:val="00D46F43"/>
    <w:rsid w:val="00D540C8"/>
    <w:rsid w:val="00DA5FD5"/>
    <w:rsid w:val="00DA7C5F"/>
    <w:rsid w:val="00DC22F2"/>
    <w:rsid w:val="00DC2B5C"/>
    <w:rsid w:val="00DD261E"/>
    <w:rsid w:val="00DD72EE"/>
    <w:rsid w:val="00DF1A29"/>
    <w:rsid w:val="00E04121"/>
    <w:rsid w:val="00E13D1C"/>
    <w:rsid w:val="00E17D3B"/>
    <w:rsid w:val="00E21410"/>
    <w:rsid w:val="00E22D5C"/>
    <w:rsid w:val="00E42E3B"/>
    <w:rsid w:val="00E55F2F"/>
    <w:rsid w:val="00E5744F"/>
    <w:rsid w:val="00E740F1"/>
    <w:rsid w:val="00E96DFD"/>
    <w:rsid w:val="00EC0512"/>
    <w:rsid w:val="00ED3129"/>
    <w:rsid w:val="00ED6044"/>
    <w:rsid w:val="00EE7C05"/>
    <w:rsid w:val="00F14246"/>
    <w:rsid w:val="00F267E1"/>
    <w:rsid w:val="00F3011C"/>
    <w:rsid w:val="00F402B8"/>
    <w:rsid w:val="00F74FEA"/>
    <w:rsid w:val="00F87FE8"/>
    <w:rsid w:val="00F97ABA"/>
    <w:rsid w:val="00F97D53"/>
    <w:rsid w:val="00FC2142"/>
    <w:rsid w:val="00FC2FC1"/>
    <w:rsid w:val="00FD13DC"/>
    <w:rsid w:val="00FE2676"/>
    <w:rsid w:val="00FE4B70"/>
    <w:rsid w:val="00FE6903"/>
    <w:rsid w:val="00FE79B0"/>
    <w:rsid w:val="00F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4903"/>
  <w15:docId w15:val="{AD3F3487-D5EE-4E7E-959A-4DEF4457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D3B"/>
    <w:pPr>
      <w:ind w:left="720"/>
      <w:contextualSpacing/>
    </w:pPr>
  </w:style>
  <w:style w:type="table" w:styleId="a4">
    <w:name w:val="Table Grid"/>
    <w:basedOn w:val="a1"/>
    <w:uiPriority w:val="39"/>
    <w:rsid w:val="00E1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06B00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211D3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11D3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11D3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19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B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19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6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312D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04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413B9"/>
  </w:style>
  <w:style w:type="paragraph" w:styleId="ae">
    <w:name w:val="footer"/>
    <w:basedOn w:val="a"/>
    <w:link w:val="af"/>
    <w:uiPriority w:val="99"/>
    <w:semiHidden/>
    <w:unhideWhenUsed/>
    <w:rsid w:val="0004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4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E8FE-9665-4615-B1F4-277CF325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8520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Ирина Воронина</cp:lastModifiedBy>
  <cp:revision>29</cp:revision>
  <dcterms:created xsi:type="dcterms:W3CDTF">2017-12-26T23:23:00Z</dcterms:created>
  <dcterms:modified xsi:type="dcterms:W3CDTF">2018-02-18T20:21:00Z</dcterms:modified>
</cp:coreProperties>
</file>