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4-D (НФИ-2)</w:t>
      </w:r>
    </w:p>
    <w:p>
      <w:pPr>
        <w:pStyle w:val="Subtitle"/>
      </w:pPr>
      <w:r>
        <w:t xml:space="preserve">Программный комплекс обучения методам обнаружения, анализа и устранения последствий компьютерных атак «Ampire»</w:t>
      </w:r>
    </w:p>
    <w:p>
      <w:pPr>
        <w:pStyle w:val="Author"/>
      </w:pPr>
      <w:r>
        <w:t xml:space="preserve">Козлов В.П., Гэинэ А., Шуваев С., Джахангиров И.З, Хватов М.Г. |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Отработать сценарий: Захват DNS-Сервера.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Установить meterpreter-сессию с узлом в сегменте DMZ.</w:t>
      </w:r>
    </w:p>
    <w:p>
      <w:pPr>
        <w:numPr>
          <w:ilvl w:val="0"/>
          <w:numId w:val="1001"/>
        </w:numPr>
      </w:pPr>
      <w:r>
        <w:t xml:space="preserve">Осуществить поиск DNS-сервера.</w:t>
      </w:r>
    </w:p>
    <w:p>
      <w:pPr>
        <w:numPr>
          <w:ilvl w:val="0"/>
          <w:numId w:val="1001"/>
        </w:numPr>
      </w:pPr>
      <w:r>
        <w:t xml:space="preserve">Отсканировать 100 самых часто используемых портов.</w:t>
      </w:r>
    </w:p>
    <w:p>
      <w:pPr>
        <w:numPr>
          <w:ilvl w:val="0"/>
          <w:numId w:val="1001"/>
        </w:numPr>
      </w:pPr>
      <w:r>
        <w:t xml:space="preserve">Обнаружить ответ от порта 22, а также 53, что стандартно для DNS сервера.</w:t>
      </w:r>
    </w:p>
    <w:p>
      <w:pPr>
        <w:numPr>
          <w:ilvl w:val="0"/>
          <w:numId w:val="1001"/>
        </w:numPr>
      </w:pPr>
      <w:r>
        <w:t xml:space="preserve">Осуществить брут форс атаку.</w:t>
      </w:r>
    </w:p>
    <w:p>
      <w:pPr>
        <w:numPr>
          <w:ilvl w:val="0"/>
          <w:numId w:val="1001"/>
        </w:numPr>
      </w:pPr>
      <w:r>
        <w:t xml:space="preserve">С помощью пароль, подключиться по ssh открыв новую shell сессию.</w:t>
      </w:r>
    </w:p>
    <w:p>
      <w:pPr>
        <w:numPr>
          <w:ilvl w:val="0"/>
          <w:numId w:val="1001"/>
        </w:numPr>
      </w:pPr>
      <w:r>
        <w:t xml:space="preserve">Альтернативно, подключаемся за счёт модуля auxiliary(scanner/ssh/ssh_login).</w:t>
      </w:r>
    </w:p>
    <w:bookmarkEnd w:id="10"/>
    <w:bookmarkStart w:id="7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msfconsole. Загружаем модуль exchange_proxyshell_rce (рис.</w:t>
      </w:r>
      <w:r>
        <w:t xml:space="preserve"> </w:t>
      </w:r>
      <w:r>
        <w:t xml:space="preserve">[-@fig:001]</w:t>
      </w:r>
      <w:r>
        <w:t xml:space="preserve">)</w:t>
      </w:r>
    </w:p>
    <w:bookmarkStart w:id="14" w:name="fig:001"/>
    <w:p>
      <w:pPr>
        <w:pStyle w:val="CaptionedFigure"/>
      </w:pPr>
      <w:r>
        <w:drawing>
          <wp:inline>
            <wp:extent cx="3733800" cy="4083664"/>
            <wp:effectExtent b="0" l="0" r="0" t="0"/>
            <wp:docPr descr="Модуль exchange_proxyshell_rce. Настройки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Модуль exchange_proxyshell_rce. Настройки</w:t>
      </w:r>
    </w:p>
    <w:bookmarkEnd w:id="14"/>
    <w:p>
      <w:pPr>
        <w:pStyle w:val="BodyText"/>
      </w:pPr>
      <w:r>
        <w:t xml:space="preserve">Настраиваем модуль и запускаем (рис.</w:t>
      </w:r>
      <w:r>
        <w:t xml:space="preserve"> </w:t>
      </w:r>
      <w:r>
        <w:t xml:space="preserve">[-@fig:002]</w:t>
      </w:r>
      <w:r>
        <w:t xml:space="preserve">)</w:t>
      </w:r>
    </w:p>
    <w:bookmarkStart w:id="18" w:name="fig:002"/>
    <w:p>
      <w:pPr>
        <w:pStyle w:val="CaptionedFigure"/>
      </w:pPr>
      <w:r>
        <w:drawing>
          <wp:inline>
            <wp:extent cx="3733800" cy="521546"/>
            <wp:effectExtent b="0" l="0" r="0" t="0"/>
            <wp:docPr descr="Настройка и запуск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 запуск</w:t>
      </w:r>
    </w:p>
    <w:bookmarkEnd w:id="18"/>
    <w:p>
      <w:pPr>
        <w:pStyle w:val="BodyText"/>
      </w:pPr>
      <w:r>
        <w:t xml:space="preserve">Получаем сессию meterpreter. Выполняем проброс портов в сеть (рис.</w:t>
      </w:r>
      <w:r>
        <w:t xml:space="preserve"> </w:t>
      </w:r>
      <w:r>
        <w:t xml:space="preserve">[-@fig:003]</w:t>
      </w:r>
      <w:r>
        <w:t xml:space="preserve">)</w:t>
      </w:r>
    </w:p>
    <w:bookmarkStart w:id="22" w:name="fig:003"/>
    <w:p>
      <w:pPr>
        <w:pStyle w:val="CaptionedFigure"/>
      </w:pPr>
      <w:r>
        <w:drawing>
          <wp:inline>
            <wp:extent cx="3733800" cy="1973146"/>
            <wp:effectExtent b="0" l="0" r="0" t="0"/>
            <wp:docPr descr="Пробрасываем порты”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3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Пробрасываем порты”</w:t>
      </w:r>
    </w:p>
    <w:bookmarkEnd w:id="22"/>
    <w:p>
      <w:pPr>
        <w:pStyle w:val="BodyText"/>
      </w:pPr>
      <w:r>
        <w:t xml:space="preserve">Сворачиваем сессию. Переключаемся на модуль ping_sweep (рис.</w:t>
      </w:r>
      <w:r>
        <w:t xml:space="preserve"> </w:t>
      </w:r>
      <w:r>
        <w:t xml:space="preserve">[-@fig:004]</w:t>
      </w:r>
      <w:r>
        <w:t xml:space="preserve">)</w:t>
      </w:r>
    </w:p>
    <w:bookmarkStart w:id="26" w:name="fig:004"/>
    <w:p>
      <w:pPr>
        <w:pStyle w:val="CaptionedFigure"/>
      </w:pPr>
      <w:r>
        <w:drawing>
          <wp:inline>
            <wp:extent cx="3733800" cy="2237827"/>
            <wp:effectExtent b="0" l="0" r="0" t="0"/>
            <wp:docPr descr="модуль ping_sweep”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7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модуль ping_sweep”</w:t>
      </w:r>
    </w:p>
    <w:bookmarkEnd w:id="26"/>
    <w:p>
      <w:pPr>
        <w:pStyle w:val="BodyText"/>
      </w:pPr>
      <w:r>
        <w:t xml:space="preserve">Запускаем скан. Получаем открытый для нас рут во внутрь. (рис.</w:t>
      </w:r>
      <w:r>
        <w:t xml:space="preserve"> </w:t>
      </w:r>
      <w:r>
        <w:t xml:space="preserve">[-@fig:005]</w:t>
      </w:r>
      <w:r>
        <w:t xml:space="preserve">)</w:t>
      </w:r>
    </w:p>
    <w:bookmarkStart w:id="30" w:name="fig:005"/>
    <w:p>
      <w:pPr>
        <w:pStyle w:val="CaptionedFigure"/>
      </w:pPr>
      <w:r>
        <w:drawing>
          <wp:inline>
            <wp:extent cx="3733800" cy="2268864"/>
            <wp:effectExtent b="0" l="0" r="0" t="0"/>
            <wp:docPr descr="Запуск ping_sweep и рут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ping_sweep и рут</w:t>
      </w:r>
    </w:p>
    <w:bookmarkEnd w:id="30"/>
    <w:p>
      <w:pPr>
        <w:pStyle w:val="BodyText"/>
      </w:pPr>
      <w:r>
        <w:t xml:space="preserve">Отображаем хостов во внутренней сети (рис.</w:t>
      </w:r>
      <w:r>
        <w:t xml:space="preserve"> </w:t>
      </w:r>
      <w:r>
        <w:t xml:space="preserve">[-@fig:006]</w:t>
      </w:r>
      <w:r>
        <w:t xml:space="preserve">)</w:t>
      </w:r>
    </w:p>
    <w:bookmarkStart w:id="34" w:name="fig:006"/>
    <w:p>
      <w:pPr>
        <w:pStyle w:val="CaptionedFigure"/>
      </w:pPr>
      <w:r>
        <w:drawing>
          <wp:inline>
            <wp:extent cx="3733800" cy="2413000"/>
            <wp:effectExtent b="0" l="0" r="0" t="0"/>
            <wp:docPr descr="Хосты внутренней сети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Хосты внутренней сети</w:t>
      </w:r>
    </w:p>
    <w:bookmarkEnd w:id="34"/>
    <w:p>
      <w:pPr>
        <w:pStyle w:val="BodyText"/>
      </w:pPr>
      <w:r>
        <w:t xml:space="preserve">Переключаемся на socks proxy. Настраиваем (рис.</w:t>
      </w:r>
      <w:r>
        <w:t xml:space="preserve"> </w:t>
      </w:r>
      <w:r>
        <w:t xml:space="preserve">[-@fig:007]</w:t>
      </w:r>
      <w:r>
        <w:t xml:space="preserve">)</w:t>
      </w:r>
    </w:p>
    <w:bookmarkStart w:id="38" w:name="fig:007"/>
    <w:p>
      <w:pPr>
        <w:pStyle w:val="CaptionedFigure"/>
      </w:pPr>
      <w:r>
        <w:drawing>
          <wp:inline>
            <wp:extent cx="3733800" cy="1963330"/>
            <wp:effectExtent b="0" l="0" r="0" t="0"/>
            <wp:docPr descr="Настройка socks proxy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socks proxy</w:t>
      </w:r>
    </w:p>
    <w:bookmarkEnd w:id="38"/>
    <w:p>
      <w:pPr>
        <w:pStyle w:val="BodyText"/>
      </w:pPr>
      <w:r>
        <w:t xml:space="preserve">Сканируем 100 самых используемых портов (рис.</w:t>
      </w:r>
      <w:r>
        <w:t xml:space="preserve"> </w:t>
      </w:r>
      <w:r>
        <w:t xml:space="preserve">[-@fig:008]</w:t>
      </w:r>
      <w:r>
        <w:t xml:space="preserve">)</w:t>
      </w:r>
    </w:p>
    <w:bookmarkStart w:id="42" w:name="fig:008"/>
    <w:p>
      <w:pPr>
        <w:pStyle w:val="CaptionedFigure"/>
      </w:pPr>
      <w:r>
        <w:drawing>
          <wp:inline>
            <wp:extent cx="3733800" cy="1429296"/>
            <wp:effectExtent b="0" l="0" r="0" t="0"/>
            <wp:docPr descr="Сканирование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</w:t>
      </w:r>
    </w:p>
    <w:bookmarkEnd w:id="42"/>
    <w:p>
      <w:pPr>
        <w:pStyle w:val="BodyText"/>
      </w:pPr>
      <w:r>
        <w:t xml:space="preserve">Видим уязвимости (рис.</w:t>
      </w:r>
      <w:r>
        <w:t xml:space="preserve"> </w:t>
      </w:r>
      <w:r>
        <w:t xml:space="preserve">[-@fig:009]</w:t>
      </w:r>
      <w:r>
        <w:t xml:space="preserve">)</w:t>
      </w:r>
    </w:p>
    <w:bookmarkStart w:id="46" w:name="fig:009"/>
    <w:p>
      <w:pPr>
        <w:pStyle w:val="CaptionedFigure"/>
      </w:pPr>
      <w:r>
        <w:drawing>
          <wp:inline>
            <wp:extent cx="3733800" cy="727363"/>
            <wp:effectExtent b="0" l="0" r="0" t="0"/>
            <wp:docPr descr="Открытые порты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Открытые порты</w:t>
      </w:r>
    </w:p>
    <w:bookmarkEnd w:id="46"/>
    <w:p>
      <w:pPr>
        <w:pStyle w:val="BodyText"/>
      </w:pPr>
      <w:r>
        <w:t xml:space="preserve">Через hydra делаем подбор паролей (рис.</w:t>
      </w:r>
      <w:r>
        <w:t xml:space="preserve"> </w:t>
      </w:r>
      <w:r>
        <w:t xml:space="preserve">[-@fig:010]</w:t>
      </w:r>
      <w:r>
        <w:t xml:space="preserve">)</w:t>
      </w:r>
    </w:p>
    <w:bookmarkStart w:id="50" w:name="fig:010"/>
    <w:p>
      <w:pPr>
        <w:pStyle w:val="CaptionedFigure"/>
      </w:pPr>
      <w:r>
        <w:drawing>
          <wp:inline>
            <wp:extent cx="3733800" cy="512139"/>
            <wp:effectExtent b="0" l="0" r="0" t="0"/>
            <wp:docPr descr="Работа гидры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2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гидры</w:t>
      </w:r>
    </w:p>
    <w:bookmarkEnd w:id="50"/>
    <w:p>
      <w:pPr>
        <w:pStyle w:val="BodyText"/>
      </w:pPr>
      <w:r>
        <w:t xml:space="preserve">Нашли совпадение (рис.</w:t>
      </w:r>
      <w:r>
        <w:t xml:space="preserve"> </w:t>
      </w:r>
      <w:r>
        <w:t xml:space="preserve">[-@fig:011]</w:t>
      </w:r>
      <w:r>
        <w:t xml:space="preserve">)</w:t>
      </w:r>
    </w:p>
    <w:bookmarkStart w:id="54" w:name="fig:011"/>
    <w:p>
      <w:pPr>
        <w:pStyle w:val="CaptionedFigure"/>
      </w:pPr>
      <w:r>
        <w:drawing>
          <wp:inline>
            <wp:extent cx="3733800" cy="614422"/>
            <wp:effectExtent b="0" l="0" r="0" t="0"/>
            <wp:docPr descr="Гидра успешна нашла нам пароль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4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Гидра успешна нашла нам пароль</w:t>
      </w:r>
    </w:p>
    <w:bookmarkEnd w:id="54"/>
    <w:p>
      <w:pPr>
        <w:pStyle w:val="BodyText"/>
      </w:pPr>
      <w:r>
        <w:t xml:space="preserve">Через ssh заходим на компьютер, пользуясь полученным паролем (рис.</w:t>
      </w:r>
      <w:r>
        <w:t xml:space="preserve"> </w:t>
      </w:r>
      <w:r>
        <w:t xml:space="preserve">[-@fig:012]</w:t>
      </w:r>
      <w:r>
        <w:t xml:space="preserve">)</w:t>
      </w:r>
    </w:p>
    <w:bookmarkStart w:id="58" w:name="fig:012"/>
    <w:p>
      <w:pPr>
        <w:pStyle w:val="CaptionedFigure"/>
      </w:pPr>
      <w:r>
        <w:drawing>
          <wp:inline>
            <wp:extent cx="3733800" cy="3861295"/>
            <wp:effectExtent b="0" l="0" r="0" t="0"/>
            <wp:docPr descr="ssh сессия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 сессия</w:t>
      </w:r>
    </w:p>
    <w:bookmarkEnd w:id="58"/>
    <w:p>
      <w:pPr>
        <w:pStyle w:val="BodyText"/>
      </w:pPr>
      <w:r>
        <w:t xml:space="preserve">Находим флажок. Захватываем его (рис.</w:t>
      </w:r>
      <w:r>
        <w:t xml:space="preserve"> </w:t>
      </w:r>
      <w:r>
        <w:t xml:space="preserve">[-@fig:013]</w:t>
      </w:r>
      <w:r>
        <w:t xml:space="preserve">)</w:t>
      </w:r>
    </w:p>
    <w:bookmarkStart w:id="62" w:name="fig:013"/>
    <w:p>
      <w:pPr>
        <w:pStyle w:val="CaptionedFigure"/>
      </w:pPr>
      <w:r>
        <w:drawing>
          <wp:inline>
            <wp:extent cx="3733800" cy="2686940"/>
            <wp:effectExtent b="0" l="0" r="0" t="0"/>
            <wp:docPr descr="Флаг захвачен!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6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Флаг захвачен!</w:t>
      </w:r>
    </w:p>
    <w:bookmarkEnd w:id="62"/>
    <w:p>
      <w:pPr>
        <w:pStyle w:val="BodyText"/>
      </w:pPr>
      <w:r>
        <w:t xml:space="preserve">Как альтернатива: пользуемся модулём ssh_login (рис.</w:t>
      </w:r>
      <w:r>
        <w:t xml:space="preserve"> </w:t>
      </w:r>
      <w:r>
        <w:t xml:space="preserve">[-@fig:014]</w:t>
      </w:r>
      <w:r>
        <w:t xml:space="preserve">)</w:t>
      </w:r>
    </w:p>
    <w:bookmarkStart w:id="66" w:name="fig:014"/>
    <w:p>
      <w:pPr>
        <w:pStyle w:val="CaptionedFigure"/>
      </w:pPr>
      <w:r>
        <w:drawing>
          <wp:inline>
            <wp:extent cx="3733800" cy="1405911"/>
            <wp:effectExtent b="0" l="0" r="0" t="0"/>
            <wp:docPr descr="ssh_login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5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ssh_login</w:t>
      </w:r>
    </w:p>
    <w:bookmarkEnd w:id="66"/>
    <w:p>
      <w:pPr>
        <w:pStyle w:val="BodyText"/>
      </w:pPr>
      <w:r>
        <w:t xml:space="preserve">Флажок найден (повторно) (рис.</w:t>
      </w:r>
      <w:r>
        <w:t xml:space="preserve"> </w:t>
      </w:r>
      <w:r>
        <w:t xml:space="preserve">[-@fig:015]</w:t>
      </w:r>
      <w:r>
        <w:t xml:space="preserve">)</w:t>
      </w:r>
    </w:p>
    <w:bookmarkStart w:id="70" w:name="fig:015"/>
    <w:p>
      <w:pPr>
        <w:pStyle w:val="CaptionedFigure"/>
      </w:pPr>
      <w:r>
        <w:drawing>
          <wp:inline>
            <wp:extent cx="3733800" cy="2733953"/>
            <wp:effectExtent b="0" l="0" r="0" t="0"/>
            <wp:docPr descr="Флаг захвачен! х2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Флаг захвачен! х2</w:t>
      </w:r>
    </w:p>
    <w:bookmarkEnd w:id="70"/>
    <w:bookmarkEnd w:id="71"/>
    <w:bookmarkStart w:id="7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Отработали сценарий: Захват DNS-Сервера.</w:t>
      </w:r>
    </w:p>
    <w:bookmarkEnd w:id="72"/>
    <w:bookmarkStart w:id="7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CVE-2019-0630</w:t>
      </w:r>
      <w:r>
        <w:t xml:space="preserve"> </w:t>
      </w:r>
      <w:r>
        <w:t xml:space="preserve">— Common Vulnerabilities and Exposures.</w:t>
      </w:r>
      <w:r>
        <w:br/>
      </w:r>
      <w:r>
        <w:t xml:space="preserve">URL:</w:t>
      </w:r>
      <w:r>
        <w:t xml:space="preserve"> </w:t>
      </w:r>
      <w:r>
        <w:rPr>
          <w:rStyle w:val="VerbatimChar"/>
        </w:rPr>
        <w:t xml:space="preserve">https://cve.mitre.org/cgi-bin/cvename.cgi?name=CVE-2019-0630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CVE-2019-17427</w:t>
      </w:r>
      <w:r>
        <w:t xml:space="preserve"> </w:t>
      </w:r>
      <w:r>
        <w:t xml:space="preserve">— Уязвимость XSS в Redmine.</w:t>
      </w:r>
      <w:r>
        <w:br/>
      </w:r>
      <w:r>
        <w:t xml:space="preserve">URL:</w:t>
      </w:r>
      <w:r>
        <w:t xml:space="preserve"> </w:t>
      </w:r>
      <w:r>
        <w:rPr>
          <w:rStyle w:val="VerbatimChar"/>
        </w:rPr>
        <w:t xml:space="preserve">https://cve.mitre.org/cgi-bin/cvename.cgi?name=CVE-2019-17427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CVE-2019-18890</w:t>
      </w:r>
      <w:r>
        <w:t xml:space="preserve"> </w:t>
      </w:r>
      <w:r>
        <w:t xml:space="preserve">— Уязвимость Blind SQL-инъекции в Redmine.</w:t>
      </w:r>
      <w:r>
        <w:br/>
      </w:r>
      <w:r>
        <w:t xml:space="preserve">URL:</w:t>
      </w:r>
      <w:r>
        <w:t xml:space="preserve"> </w:t>
      </w:r>
      <w:r>
        <w:rPr>
          <w:rStyle w:val="VerbatimChar"/>
        </w:rPr>
        <w:t xml:space="preserve">https://cve.mitre.org/cgi-bin/cvename.cgi?name=CVE-2019-18890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4-D (НФИ-2)</dc:title>
  <dc:creator>Козлов В.П., Гэинэ А., Шуваев С., Джахангиров И.З, Хватов М.Г. | НФИбд-02-22</dc:creator>
  <dc:language>ru-RU</dc:language>
  <cp:keywords/>
  <dcterms:created xsi:type="dcterms:W3CDTF">2025-12-04T17:29:30Z</dcterms:created>
  <dcterms:modified xsi:type="dcterms:W3CDTF">2025-12-04T17:29:30Z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Arial</vt:lpwstr>
  </property>
  <property fmtid="{D5CDD505-2E9C-101B-9397-08002B2CF9AE}" pid="22" name="mainfontoptions">
    <vt:lpwstr>Ligatures=TeX</vt:lpwstr>
  </property>
  <property fmtid="{D5CDD505-2E9C-101B-9397-08002B2CF9AE}" pid="23" name="monofont">
    <vt:lpwstr>Arial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Arial</vt:lpwstr>
  </property>
  <property fmtid="{D5CDD505-2E9C-101B-9397-08002B2CF9AE}" pid="29" name="romanfontoptions">
    <vt:lpwstr>Ligatures=TeX</vt:lpwstr>
  </property>
  <property fmtid="{D5CDD505-2E9C-101B-9397-08002B2CF9AE}" pid="30" name="sansfont">
    <vt:lpwstr>Arial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Программный комплекс обучения методам обнаружения, анализа и устранения последствий компьютерных атак «Ampire»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