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25.png" ContentType="image/png"/>
  <Override PartName="/word/media/rId58.png" ContentType="image/png"/>
  <Override PartName="/word/media/rId22.png" ContentType="image/png"/>
  <Override PartName="/word/media/rId28.png" ContentType="image/png"/>
  <Override PartName="/word/media/rId34.png" ContentType="image/png"/>
  <Override PartName="/word/media/rId31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3-D</w:t>
      </w:r>
      <w:r>
        <w:t xml:space="preserve"> </w:t>
      </w:r>
      <w:r>
        <w:t xml:space="preserve">(НФИ-2)</w:t>
      </w:r>
    </w:p>
    <w:p>
      <w:pPr>
        <w:pStyle w:val="Subtitle"/>
      </w:pPr>
      <w:r>
        <w:t xml:space="preserve">Программный</w:t>
      </w:r>
      <w:r>
        <w:t xml:space="preserve"> </w:t>
      </w:r>
      <w:r>
        <w:t xml:space="preserve">комплекс</w:t>
      </w:r>
      <w:r>
        <w:t xml:space="preserve"> </w:t>
      </w:r>
      <w:r>
        <w:t xml:space="preserve">обучения</w:t>
      </w:r>
      <w:r>
        <w:t xml:space="preserve"> </w:t>
      </w:r>
      <w:r>
        <w:t xml:space="preserve">методам</w:t>
      </w:r>
      <w:r>
        <w:t xml:space="preserve"> </w:t>
      </w:r>
      <w:r>
        <w:t xml:space="preserve">обнаружения,</w:t>
      </w:r>
      <w:r>
        <w:t xml:space="preserve"> </w:t>
      </w:r>
      <w:r>
        <w:t xml:space="preserve">анализа</w:t>
      </w:r>
      <w:r>
        <w:t xml:space="preserve"> </w:t>
      </w:r>
      <w:r>
        <w:t xml:space="preserve">и</w:t>
      </w:r>
      <w:r>
        <w:t xml:space="preserve"> </w:t>
      </w:r>
      <w:r>
        <w:t xml:space="preserve">устранения</w:t>
      </w:r>
      <w:r>
        <w:t xml:space="preserve"> </w:t>
      </w:r>
      <w:r>
        <w:t xml:space="preserve">последствий</w:t>
      </w:r>
      <w:r>
        <w:t xml:space="preserve"> </w:t>
      </w:r>
      <w:r>
        <w:t xml:space="preserve">компьютерных</w:t>
      </w:r>
      <w:r>
        <w:t xml:space="preserve"> </w:t>
      </w:r>
      <w:r>
        <w:t xml:space="preserve">атак</w:t>
      </w:r>
      <w:r>
        <w:t xml:space="preserve"> </w:t>
      </w:r>
      <w:r>
        <w:t xml:space="preserve">«Ampire»</w:t>
      </w:r>
    </w:p>
    <w:p>
      <w:pPr>
        <w:pStyle w:val="Author"/>
      </w:pPr>
      <w:r>
        <w:t xml:space="preserve">Козлов</w:t>
      </w:r>
      <w:r>
        <w:t xml:space="preserve"> </w:t>
      </w:r>
      <w:r>
        <w:t xml:space="preserve">В.П.,</w:t>
      </w:r>
      <w:r>
        <w:t xml:space="preserve"> </w:t>
      </w:r>
      <w:r>
        <w:t xml:space="preserve">Гэинэ</w:t>
      </w:r>
      <w:r>
        <w:t xml:space="preserve"> </w:t>
      </w:r>
      <w:r>
        <w:t xml:space="preserve">А.,</w:t>
      </w:r>
      <w:r>
        <w:t xml:space="preserve"> </w:t>
      </w:r>
      <w:r>
        <w:t xml:space="preserve">Шуваев</w:t>
      </w:r>
      <w:r>
        <w:t xml:space="preserve"> </w:t>
      </w:r>
      <w:r>
        <w:t xml:space="preserve">С.,</w:t>
      </w:r>
      <w:r>
        <w:t xml:space="preserve"> </w:t>
      </w:r>
      <w:r>
        <w:t xml:space="preserve">Джахангиров</w:t>
      </w:r>
      <w:r>
        <w:t xml:space="preserve"> </w:t>
      </w:r>
      <w:r>
        <w:t xml:space="preserve">И.З,</w:t>
      </w:r>
      <w:r>
        <w:t xml:space="preserve"> </w:t>
      </w:r>
      <w:r>
        <w:t xml:space="preserve">Хватов</w:t>
      </w:r>
      <w:r>
        <w:t xml:space="preserve"> </w:t>
      </w:r>
      <w:r>
        <w:t xml:space="preserve">М.Г.</w:t>
      </w:r>
      <w:r>
        <w:t xml:space="preserve"> </w:t>
      </w:r>
      <w:r>
        <w:t xml:space="preserve">|</w:t>
      </w:r>
      <w:r>
        <w:t xml:space="preserve"> </w:t>
      </w:r>
      <w:r>
        <w:t xml:space="preserve">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Отработать сценарий: Защита интеграционной платформы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Обнаружить Bitrix vote RCE на Bitrix Server.</w:t>
      </w:r>
    </w:p>
    <w:p>
      <w:pPr>
        <w:numPr>
          <w:ilvl w:val="0"/>
          <w:numId w:val="1001"/>
        </w:numPr>
      </w:pPr>
      <w:r>
        <w:t xml:space="preserve">Устранить уязвимость путём отклонения всех запросов к директории vote.</w:t>
      </w:r>
    </w:p>
    <w:p>
      <w:pPr>
        <w:numPr>
          <w:ilvl w:val="0"/>
          <w:numId w:val="1001"/>
        </w:numPr>
      </w:pPr>
      <w:r>
        <w:t xml:space="preserve">Устранить последствие (Deface). Восстанавливаем бэкап сайта.</w:t>
      </w:r>
    </w:p>
    <w:p>
      <w:pPr>
        <w:numPr>
          <w:ilvl w:val="0"/>
          <w:numId w:val="1001"/>
        </w:numPr>
      </w:pPr>
      <w:r>
        <w:t xml:space="preserve">Обнаружить GitLab RCE на узле GitLab.</w:t>
      </w:r>
    </w:p>
    <w:p>
      <w:pPr>
        <w:numPr>
          <w:ilvl w:val="0"/>
          <w:numId w:val="1001"/>
        </w:numPr>
      </w:pPr>
      <w:r>
        <w:t xml:space="preserve">Зайти в панель администратора, ужесточить регистрацию. Удалить неизвестных пользователей.</w:t>
      </w:r>
    </w:p>
    <w:p>
      <w:pPr>
        <w:numPr>
          <w:ilvl w:val="0"/>
          <w:numId w:val="1001"/>
        </w:numPr>
      </w:pPr>
      <w:r>
        <w:t xml:space="preserve">Устранить последствие (Gitlab meterpreter). Убиваем сессию нарушителя.</w:t>
      </w:r>
    </w:p>
    <w:p>
      <w:pPr>
        <w:numPr>
          <w:ilvl w:val="0"/>
          <w:numId w:val="1001"/>
        </w:numPr>
      </w:pPr>
      <w:r>
        <w:t xml:space="preserve">Обнаружить WSO2 API-Manager RCE на узле MS API Manager.</w:t>
      </w:r>
    </w:p>
    <w:p>
      <w:pPr>
        <w:numPr>
          <w:ilvl w:val="0"/>
          <w:numId w:val="1001"/>
        </w:numPr>
      </w:pPr>
      <w:r>
        <w:t xml:space="preserve">Изменить параметр загрузки ресурсов в конфиг файле.</w:t>
      </w:r>
    </w:p>
    <w:p>
      <w:pPr>
        <w:numPr>
          <w:ilvl w:val="0"/>
          <w:numId w:val="1001"/>
        </w:numPr>
      </w:pPr>
      <w:r>
        <w:t xml:space="preserve">Устранить последствие (WSO Web User). Удалить нового привилегированного пользователя. Удалить бэкдор</w:t>
      </w:r>
    </w:p>
    <w:bookmarkEnd w:id="21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На сайте ViPNet IDS NS просмотрели атакованные активы и суть атак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1762636"/>
            <wp:effectExtent b="0" l="0" r="0" t="0"/>
            <wp:docPr descr="Атакованные ip-адреса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Атакованные ip-адреса</w:t>
      </w:r>
    </w:p>
    <w:p>
      <w:pPr>
        <w:pStyle w:val="BodyText"/>
      </w:pPr>
      <w:r>
        <w:t xml:space="preserve">Добавили карточку инцидента</w:t>
      </w:r>
      <w:r>
        <w:t xml:space="preserve"> </w:t>
      </w:r>
      <w:r>
        <w:t xml:space="preserve">“</w:t>
      </w:r>
      <w:r>
        <w:t xml:space="preserve">Bitrix vote RCE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[-@fig:100]</w:t>
      </w:r>
      <w:r>
        <w:t xml:space="preserve">)</w:t>
      </w:r>
    </w:p>
    <w:p>
      <w:pPr>
        <w:pStyle w:val="CaptionedFigure"/>
      </w:pPr>
      <w:r>
        <w:drawing>
          <wp:inline>
            <wp:extent cx="3733800" cy="2345088"/>
            <wp:effectExtent b="0" l="0" r="0" t="0"/>
            <wp:docPr descr="Карточка инцидента “Bitrix vote RCE”" title="" id="26" name="Picture"/>
            <a:graphic>
              <a:graphicData uri="http://schemas.openxmlformats.org/drawingml/2006/picture">
                <pic:pic>
                  <pic:nvPicPr>
                    <pic:cNvPr descr="image/10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Карточка инцидента</w:t>
      </w:r>
      <w:r>
        <w:t xml:space="preserve"> </w:t>
      </w:r>
      <w:r>
        <w:t xml:space="preserve">“</w:t>
      </w:r>
      <w:r>
        <w:t xml:space="preserve">Bitrix vote RCE</w:t>
      </w:r>
      <w:r>
        <w:t xml:space="preserve">”</w:t>
      </w:r>
    </w:p>
    <w:p>
      <w:pPr>
        <w:pStyle w:val="BodyText"/>
      </w:pPr>
      <w:r>
        <w:t xml:space="preserve">Добавили карточку инцидента</w:t>
      </w:r>
      <w:r>
        <w:t xml:space="preserve"> </w:t>
      </w:r>
      <w:r>
        <w:t xml:space="preserve">“</w:t>
      </w:r>
      <w:r>
        <w:t xml:space="preserve">GitLab RCE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[-@fig:200]</w:t>
      </w:r>
      <w:r>
        <w:t xml:space="preserve">)</w:t>
      </w:r>
    </w:p>
    <w:p>
      <w:pPr>
        <w:pStyle w:val="CaptionedFigure"/>
      </w:pPr>
      <w:r>
        <w:drawing>
          <wp:inline>
            <wp:extent cx="3733800" cy="2581472"/>
            <wp:effectExtent b="0" l="0" r="0" t="0"/>
            <wp:docPr descr="Карточка инцидента “GitLab RCE”" title="" id="29" name="Picture"/>
            <a:graphic>
              <a:graphicData uri="http://schemas.openxmlformats.org/drawingml/2006/picture">
                <pic:pic>
                  <pic:nvPicPr>
                    <pic:cNvPr descr="image/200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Карточка инцидента</w:t>
      </w:r>
      <w:r>
        <w:t xml:space="preserve"> </w:t>
      </w:r>
      <w:r>
        <w:t xml:space="preserve">“</w:t>
      </w:r>
      <w:r>
        <w:t xml:space="preserve">GitLab RCE</w:t>
      </w:r>
      <w:r>
        <w:t xml:space="preserve">”</w:t>
      </w:r>
    </w:p>
    <w:p>
      <w:pPr>
        <w:pStyle w:val="BodyText"/>
      </w:pPr>
      <w:r>
        <w:t xml:space="preserve">Добавили карточку инцидента</w:t>
      </w:r>
      <w:r>
        <w:t xml:space="preserve"> </w:t>
      </w:r>
      <w:r>
        <w:t xml:space="preserve">“</w:t>
      </w:r>
      <w:r>
        <w:t xml:space="preserve">WSO2 API-Manager RCE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[-@fig:300]</w:t>
      </w:r>
      <w:r>
        <w:t xml:space="preserve">)</w:t>
      </w:r>
    </w:p>
    <w:p>
      <w:pPr>
        <w:pStyle w:val="CaptionedFigure"/>
      </w:pPr>
      <w:r>
        <w:drawing>
          <wp:inline>
            <wp:extent cx="3733800" cy="1873214"/>
            <wp:effectExtent b="0" l="0" r="0" t="0"/>
            <wp:docPr descr="Добавили карточку инцидента “WSO2 API-Manager RCE”" title="" id="32" name="Picture"/>
            <a:graphic>
              <a:graphicData uri="http://schemas.openxmlformats.org/drawingml/2006/picture">
                <pic:pic>
                  <pic:nvPicPr>
                    <pic:cNvPr descr="image/30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Добавили карточку инцидента</w:t>
      </w:r>
      <w:r>
        <w:t xml:space="preserve"> </w:t>
      </w:r>
      <w:r>
        <w:t xml:space="preserve">“</w:t>
      </w:r>
      <w:r>
        <w:t xml:space="preserve">WSO2 API-Manager RCE</w:t>
      </w:r>
      <w:r>
        <w:t xml:space="preserve">”</w:t>
      </w:r>
    </w:p>
    <w:p>
      <w:pPr>
        <w:pStyle w:val="BodyText"/>
      </w:pPr>
      <w:r>
        <w:t xml:space="preserve">Bitrix vote RCE. Устранили уязвимость путём отклонения всех запросов к директории vote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2595551"/>
            <wp:effectExtent b="0" l="0" r="0" t="0"/>
            <wp:docPr descr=".htaccess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.htaccess</w:t>
      </w:r>
    </w:p>
    <w:p>
      <w:pPr>
        <w:pStyle w:val="BodyText"/>
      </w:pPr>
      <w:r>
        <w:t xml:space="preserve">Bitrix vote RCE. Восстанавливаем бэкап сайта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2784528"/>
            <wp:effectExtent b="0" l="0" r="0" t="0"/>
            <wp:docPr descr="Процесс восстановления бэкапа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восстановления бэкапа</w:t>
      </w:r>
    </w:p>
    <w:p>
      <w:pPr>
        <w:pStyle w:val="BodyText"/>
      </w:pPr>
      <w:r>
        <w:t xml:space="preserve">GitLab RCE. Заходим на панель администратора, ужесточаем регистрацию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1985058"/>
            <wp:effectExtent b="0" l="0" r="0" t="0"/>
            <wp:docPr descr="Настройки регистрации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регистрации</w:t>
      </w:r>
    </w:p>
    <w:p>
      <w:pPr>
        <w:pStyle w:val="BodyText"/>
      </w:pPr>
      <w:r>
        <w:t xml:space="preserve">GitLab RCE. Удаляем неизвестного нам пользователя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1594876"/>
            <wp:effectExtent b="0" l="0" r="0" t="0"/>
            <wp:docPr descr="Удаляем неизвестного нам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 неизвестного нам пользователя</w:t>
      </w:r>
    </w:p>
    <w:p>
      <w:pPr>
        <w:pStyle w:val="BodyText"/>
      </w:pPr>
      <w:r>
        <w:t xml:space="preserve">GitLab RCE. Находим PID сессию с нарушителем, убиваем её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3733800" cy="882868"/>
            <wp:effectExtent b="0" l="0" r="0" t="0"/>
            <wp:docPr descr="Сессия нарушителя устранен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Сессия нарушителя устранена</w:t>
      </w:r>
    </w:p>
    <w:p>
      <w:pPr>
        <w:pStyle w:val="BodyText"/>
      </w:pPr>
      <w:r>
        <w:t xml:space="preserve">WSO2 API-Manager RCE. Заходим на MS API Manager, изменяем паарметр загрузки ресурсов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r>
        <w:drawing>
          <wp:inline>
            <wp:extent cx="2926080" cy="760395"/>
            <wp:effectExtent b="0" l="0" r="0" t="0"/>
            <wp:docPr descr="Меняем конф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конф</w:t>
      </w:r>
    </w:p>
    <w:p>
      <w:pPr>
        <w:pStyle w:val="BodyText"/>
      </w:pPr>
      <w:r>
        <w:t xml:space="preserve">WSO2 API-Manager RCE. Удаляем бэкдор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1220836"/>
            <wp:effectExtent b="0" l="0" r="0" t="0"/>
            <wp:docPr descr="Удалили бэкдор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Удалили бэкдор</w:t>
      </w:r>
    </w:p>
    <w:p>
      <w:pPr>
        <w:pStyle w:val="BodyText"/>
      </w:pPr>
      <w:r>
        <w:t xml:space="preserve">WSO2 API-Manager RCE. Удаляем нового пользователя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1363814"/>
            <wp:effectExtent b="0" l="0" r="0" t="0"/>
            <wp:docPr descr="Удалили бэкдор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Удалили бэкдор</w:t>
      </w:r>
    </w:p>
    <w:p>
      <w:pPr>
        <w:pStyle w:val="BodyText"/>
      </w:pPr>
      <w:r>
        <w:t xml:space="preserve">Все атаки и их последствия успешно устранены</w:t>
      </w:r>
    </w:p>
    <w:p>
      <w:pPr>
        <w:pStyle w:val="CaptionedFigure"/>
      </w:pPr>
      <w:r>
        <w:drawing>
          <wp:inline>
            <wp:extent cx="3733800" cy="1813802"/>
            <wp:effectExtent b="0" l="0" r="0" t="0"/>
            <wp:docPr descr="Всё оки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Всё оки</w:t>
      </w:r>
    </w:p>
    <w:bookmarkEnd w:id="61"/>
    <w:bookmarkStart w:id="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Отработали сценарий: Защита интеграционной платформы.</w:t>
      </w:r>
    </w:p>
    <w:bookmarkEnd w:id="62"/>
    <w:bookmarkStart w:id="6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CVE-2019-0630</w:t>
      </w:r>
      <w:r>
        <w:t xml:space="preserve"> </w:t>
      </w:r>
      <w:r>
        <w:t xml:space="preserve">— Common Vulnerabilities and Exposures.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https://cve.mitre.org/cgi-bin/cvename.cgi?name=CVE-2019-0630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CVE-2019-17427</w:t>
      </w:r>
      <w:r>
        <w:t xml:space="preserve"> </w:t>
      </w:r>
      <w:r>
        <w:t xml:space="preserve">— Уязвимость XSS в Redmine.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https://cve.mitre.org/cgi-bin/cvename.cgi?name=CVE-2019-17427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CVE-2019-18890</w:t>
      </w:r>
      <w:r>
        <w:t xml:space="preserve"> </w:t>
      </w:r>
      <w:r>
        <w:t xml:space="preserve">— Уязвимость Blind SQL-инъекции в Redmine.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https://cve.mitre.org/cgi-bin/cvename.cgi?name=CVE-2019-18890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3-D (НФИ-2)</dc:title>
  <dc:creator>Козлов В.П., Гэинэ А., Шуваев С., Джахангиров И.З, Хватов М.Г. | НФИбд-02-22</dc:creator>
  <dc:language>ru-RU</dc:language>
  <cp:keywords/>
  <dcterms:created xsi:type="dcterms:W3CDTF">2025-10-30T18:05:37Z</dcterms:created>
  <dcterms:modified xsi:type="dcterms:W3CDTF">2025-10-30T18:05:37Z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Arial</vt:lpwstr>
  </property>
  <property fmtid="{D5CDD505-2E9C-101B-9397-08002B2CF9AE}" pid="22" name="mainfontoptions">
    <vt:lpwstr>Ligatures=TeX</vt:lpwstr>
  </property>
  <property fmtid="{D5CDD505-2E9C-101B-9397-08002B2CF9AE}" pid="23" name="monofont">
    <vt:lpwstr>Arial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Arial</vt:lpwstr>
  </property>
  <property fmtid="{D5CDD505-2E9C-101B-9397-08002B2CF9AE}" pid="29" name="romanfontoptions">
    <vt:lpwstr>Ligatures=TeX</vt:lpwstr>
  </property>
  <property fmtid="{D5CDD505-2E9C-101B-9397-08002B2CF9AE}" pid="30" name="sansfont">
    <vt:lpwstr>Arial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Программный комплекс обучения методам обнаружения, анализа и устранения последствий компьютерных атак «Ampire»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