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№15</w:t>
      </w:r>
    </w:p>
    <w:p>
      <w:pPr>
        <w:pStyle w:val="Subtitle"/>
      </w:pPr>
      <w:r>
        <w:t xml:space="preserve">Модели</w:t>
      </w:r>
      <w:r>
        <w:t xml:space="preserve"> </w:t>
      </w:r>
      <w:r>
        <w:t xml:space="preserve">обслуживания</w:t>
      </w:r>
      <w:r>
        <w:t xml:space="preserve"> </w:t>
      </w:r>
      <w:r>
        <w:t xml:space="preserve">с</w:t>
      </w:r>
      <w:r>
        <w:t xml:space="preserve"> </w:t>
      </w:r>
      <w:r>
        <w:t xml:space="preserve">приоритетами</w:t>
      </w:r>
    </w:p>
    <w:p>
      <w:pPr>
        <w:pStyle w:val="Author"/>
      </w:pPr>
      <w:r>
        <w:t xml:space="preserve">Гэинэ</w:t>
      </w:r>
      <w:r>
        <w:t xml:space="preserve"> </w:t>
      </w:r>
      <w:r>
        <w:t xml:space="preserve">Андрей</w:t>
      </w:r>
      <w:r>
        <w:t xml:space="preserve"> </w:t>
      </w:r>
      <w:r>
        <w:t xml:space="preserve">НФИбд-02-22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t xml:space="preserve">Задание</w:t>
      </w:r>
    </w:p>
    <w:p>
      <w:pPr>
        <w:pStyle w:val="FirstParagraph"/>
      </w:pPr>
      <w:r>
        <w:t xml:space="preserve">Реализовать с помощью gpss:</w:t>
      </w:r>
    </w:p>
    <w:p>
      <w:pPr>
        <w:pStyle w:val="Compact"/>
        <w:numPr>
          <w:ilvl w:val="0"/>
          <w:numId w:val="1001"/>
        </w:numPr>
      </w:pPr>
      <w:r>
        <w:t xml:space="preserve">Модель обслуживания механиков на складе</w:t>
      </w:r>
    </w:p>
    <w:p>
      <w:pPr>
        <w:pStyle w:val="Compact"/>
        <w:numPr>
          <w:ilvl w:val="0"/>
          <w:numId w:val="1001"/>
        </w:numPr>
      </w:pPr>
      <w:r>
        <w:t xml:space="preserve">Модель обслуживания в порту судов двух типов</w:t>
      </w:r>
    </w:p>
    <w:bookmarkEnd w:id="21"/>
    <w:bookmarkStart w:id="36" w:name="выполнение-лабораторной-работы"/>
    <w:p>
      <w:pPr>
        <w:pStyle w:val="Heading1"/>
      </w:pPr>
      <w:r>
        <w:t xml:space="preserve">Выполнение лабораторной работы</w:t>
      </w:r>
    </w:p>
    <w:bookmarkStart w:id="28" w:name="модель-обслуживания-механиков-на-складе"/>
    <w:p>
      <w:pPr>
        <w:pStyle w:val="Heading2"/>
      </w:pP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w:t>
      </w:r>
      <w:r>
        <w:t xml:space="preserve"> </w:t>
      </w:r>
      <w:r>
        <w:t xml:space="preserve">категории интервалы времени прихода механиков</w:t>
      </w:r>
      <w:r>
        <w:t xml:space="preserve"> </w:t>
      </w:r>
      <m:oMath>
        <m:r>
          <m:t>420</m:t>
        </m:r>
        <m:r>
          <m:rPr>
            <m:sty m:val="p"/>
          </m:rPr>
          <m:t>±</m:t>
        </m:r>
        <m:r>
          <m:t>360</m:t>
        </m:r>
      </m:oMath>
      <w:r>
        <w:t xml:space="preserve"> </w:t>
      </w:r>
      <w:r>
        <w:t xml:space="preserve">сек., время обслуживания –</w:t>
      </w:r>
      <w:r>
        <w:t xml:space="preserve"> </w:t>
      </w:r>
      <m:oMath>
        <m:r>
          <m:t>300</m:t>
        </m:r>
        <m:r>
          <m:rPr>
            <m:sty m:val="p"/>
          </m:rPr>
          <m:t>±</m:t>
        </m:r>
        <m:r>
          <m:t>90</m:t>
        </m:r>
      </m:oMath>
      <w:r>
        <w:t xml:space="preserve"> </w:t>
      </w:r>
      <w:r>
        <w:t xml:space="preserve">сек. Для второй категории интервалы времени прихода механиков</w:t>
      </w:r>
      <w:r>
        <w:t xml:space="preserve"> </w:t>
      </w:r>
      <m:oMath>
        <m:r>
          <m:t>360</m:t>
        </m:r>
        <m:r>
          <m:rPr>
            <m:sty m:val="p"/>
          </m:rPr>
          <m:t>±</m:t>
        </m:r>
        <m:r>
          <m:t>240</m:t>
        </m:r>
      </m:oMath>
      <w:r>
        <w:t xml:space="preserve"> </w:t>
      </w:r>
      <w:r>
        <w:t xml:space="preserve">сек., время обслуживания –</w:t>
      </w:r>
      <w:r>
        <w:t xml:space="preserve"> </w:t>
      </w:r>
      <m:oMath>
        <m:r>
          <m:t>100</m:t>
        </m:r>
        <m:r>
          <m:rPr>
            <m:sty m:val="p"/>
          </m:rPr>
          <m:t>±</m:t>
        </m:r>
        <m:r>
          <m:t>30</m:t>
        </m:r>
      </m:oMath>
      <w:r>
        <w:t xml:space="preserve"> </w:t>
      </w:r>
      <w:r>
        <w:t xml:space="preserve">сек</w:t>
      </w:r>
      <w:r>
        <w:t xml:space="preserve"> </w:t>
      </w: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w:t>
      </w:r>
      <w:r>
        <w:t xml:space="preserve">первым пришел – первым обслужился</w:t>
      </w:r>
      <w:r>
        <w:t xml:space="preserve">”</w:t>
      </w:r>
      <w:r>
        <w:t xml:space="preserve">.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w:t>
      </w:r>
      <w:r>
        <w:t xml:space="preserve"> </w:t>
      </w:r>
      <w:r>
        <w:t xml:space="preserve">для этих типов заявок. Приоритеты запросов задаются путем использования для</w:t>
      </w:r>
      <w:r>
        <w:t xml:space="preserve"> </w:t>
      </w:r>
      <w:r>
        <w:t xml:space="preserve">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w:t>
      </w:r>
      <w:r>
        <w:t xml:space="preserve"> </w:t>
      </w:r>
      <w:r>
        <w:t xml:space="preserve">запросов первой категории.</w:t>
      </w:r>
    </w:p>
    <w:p>
      <w:pPr>
        <w:pStyle w:val="BodyText"/>
      </w:pPr>
      <w:r>
        <w:t xml:space="preserve">Напишем соответсвующий код для построения модели в gpss (рис.</w:t>
      </w:r>
      <w:r>
        <w:t xml:space="preserve"> </w:t>
      </w:r>
      <w:r>
        <w:t xml:space="preserve">[-@fig:001]</w:t>
      </w:r>
      <w:r>
        <w:t xml:space="preserve">).</w:t>
      </w:r>
    </w:p>
    <w:p>
      <w:pPr>
        <w:pStyle w:val="CaptionedFigure"/>
      </w:pPr>
      <w:r>
        <w:drawing>
          <wp:inline>
            <wp:extent cx="2945330" cy="2444816"/>
            <wp:effectExtent b="0" l="0" r="0" t="0"/>
            <wp:docPr descr="Модель обслуживания механиков с приоритетами"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2945330" cy="2444816"/>
                    </a:xfrm>
                    <a:prstGeom prst="rect">
                      <a:avLst/>
                    </a:prstGeom>
                    <a:noFill/>
                    <a:ln w="9525">
                      <a:noFill/>
                      <a:headEnd/>
                      <a:tailEnd/>
                    </a:ln>
                  </pic:spPr>
                </pic:pic>
              </a:graphicData>
            </a:graphic>
          </wp:inline>
        </w:drawing>
      </w:r>
    </w:p>
    <w:p>
      <w:pPr>
        <w:pStyle w:val="ImageCaption"/>
      </w:pPr>
      <w:r>
        <w:t xml:space="preserve">Модель обслуживания механиков с приоритетами</w:t>
      </w:r>
    </w:p>
    <w:p>
      <w:pPr>
        <w:pStyle w:val="BodyText"/>
      </w:pPr>
      <w:r>
        <w:t xml:space="preserve">Получим следующий отчет (рис.</w:t>
      </w:r>
      <w:r>
        <w:t xml:space="preserve"> </w:t>
      </w:r>
      <w:r>
        <w:t xml:space="preserve">[-@fig:002]</w:t>
      </w:r>
      <w:r>
        <w:t xml:space="preserve">).</w:t>
      </w:r>
    </w:p>
    <w:p>
      <w:pPr>
        <w:pStyle w:val="CaptionedFigure"/>
      </w:pPr>
      <w:r>
        <w:drawing>
          <wp:inline>
            <wp:extent cx="3733800" cy="4055811"/>
            <wp:effectExtent b="0" l="0" r="0" t="0"/>
            <wp:docPr descr="Отчет по модели обслуживания механиков с приоритетами"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4055811"/>
                    </a:xfrm>
                    <a:prstGeom prst="rect">
                      <a:avLst/>
                    </a:prstGeom>
                    <a:noFill/>
                    <a:ln w="9525">
                      <a:noFill/>
                      <a:headEnd/>
                      <a:tailEnd/>
                    </a:ln>
                  </pic:spPr>
                </pic:pic>
              </a:graphicData>
            </a:graphic>
          </wp:inline>
        </w:drawing>
      </w:r>
    </w:p>
    <w:p>
      <w:pPr>
        <w:pStyle w:val="ImageCaption"/>
      </w:pPr>
      <w:r>
        <w:t xml:space="preserve">Отчет по модели обслуживания механиков с приоритетами</w:t>
      </w:r>
    </w:p>
    <w:p>
      <w:pPr>
        <w:pStyle w:val="BodyText"/>
      </w:pPr>
      <w:r>
        <w:t xml:space="preserve">В рамках имитационного моделирования система была проанализирована на протяжении 28800 моделируемых секунд, начиная с момента времени 0. В процессе моделирования использовалось 16 блоков, один одноканальный ресурс (оформляющий оператор) и не применялось ни одно многоканальное устройство. В модели были задействованы следующие элементы: две очереди для разных типов заявок (QS1 и QS2), а также исполнитель — STOCKMAN.</w:t>
      </w:r>
    </w:p>
    <w:p>
      <w:pPr>
        <w:pStyle w:val="BodyText"/>
      </w:pPr>
      <w:r>
        <w:t xml:space="preserve">В течение симуляции было зафиксировано 71 обращение первого типа и 83 — второго. Из них до завершения обработки дошли 64 и 81 соответственно. Всего оператором было принято 146 заявок. Эффективность его загрузки составила 96,7%, а средняя продолжительность работы с заявкой — около 190,73 минут.</w:t>
      </w:r>
    </w:p>
    <w:p>
      <w:pPr>
        <w:pStyle w:val="BodyText"/>
      </w:pPr>
      <w:r>
        <w:t xml:space="preserve">Очередь QS1, предназначенная для заявок первого типа, показала следующие результаты: максимальное количество клиентов в ожидании достигало 8, а в момент окончания моделирования в очереди находилось 6 заявок. Всего через неё прошло 71 обращение, из которых 4 обрабатывались сразу, без ожидания. В среднем в очереди одновременно находилось около 2,18 заявок, а среднее время нахождения в очереди составило 883 минуты (935 минут, если учитывать только случаи с реальным ожиданием).</w:t>
      </w:r>
    </w:p>
    <w:p>
      <w:pPr>
        <w:pStyle w:val="BodyText"/>
      </w:pPr>
      <w:r>
        <w:t xml:space="preserve">Очередь QS2, связанная со вторым типом заявок, демонстрировала менее загруженный характер: максимум 3 заявки в ожидании, и 2 — на момент окончания симуляции. Из 83 заявок только 2 обрабатывались мгновенно. Среднее число клиентов в очереди — менее 0,44, а среднее время ожидания — около 152 минут (почти идентично с учетом и без учета нулевого ожидания).</w:t>
      </w:r>
    </w:p>
    <w:p>
      <w:pPr>
        <w:pStyle w:val="BodyText"/>
      </w:pPr>
      <w:r>
        <w:t xml:space="preserve">В заключительной части отчёта приводится информация о следующем ожидаемом событии в модели. Транзакт с номером 141, принадлежащий первому типу заявок, должен активироваться в момент времени 28815,063. Он находится на этапе перехода от пятого блока к шестому, и имеет приоритет, соответствующий первому типу заявок.</w:t>
      </w:r>
    </w:p>
    <w:bookmarkEnd w:id="28"/>
    <w:bookmarkStart w:id="35" w:name="Xf2c53700e2ed52c994f143e6374ea902f84194b"/>
    <w:p>
      <w:pPr>
        <w:pStyle w:val="Heading2"/>
      </w:pP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Построим модель обслуживания в порту судов двух типов в gpss (рис.</w:t>
      </w:r>
      <w:r>
        <w:t xml:space="preserve"> </w:t>
      </w:r>
      <w:r>
        <w:t xml:space="preserve">[-@fig:003]</w:t>
      </w:r>
      <w:r>
        <w:t xml:space="preserve">).</w:t>
      </w:r>
    </w:p>
    <w:p>
      <w:pPr>
        <w:pStyle w:val="CaptionedFigure"/>
      </w:pPr>
      <w:r>
        <w:drawing>
          <wp:inline>
            <wp:extent cx="2656572" cy="3301465"/>
            <wp:effectExtent b="0" l="0" r="0" t="0"/>
            <wp:docPr descr="Модель обслуживания в порту судов двух типов"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2656572" cy="3301465"/>
                    </a:xfrm>
                    <a:prstGeom prst="rect">
                      <a:avLst/>
                    </a:prstGeom>
                    <a:noFill/>
                    <a:ln w="9525">
                      <a:noFill/>
                      <a:headEnd/>
                      <a:tailEnd/>
                    </a:ln>
                  </pic:spPr>
                </pic:pic>
              </a:graphicData>
            </a:graphic>
          </wp:inline>
        </w:drawing>
      </w:r>
    </w:p>
    <w:p>
      <w:pPr>
        <w:pStyle w:val="ImageCaption"/>
      </w:pPr>
      <w:r>
        <w:t xml:space="preserve">Модель обслуживания в порту судов двух типов</w:t>
      </w:r>
    </w:p>
    <w:p>
      <w:pPr>
        <w:pStyle w:val="BodyText"/>
      </w:pPr>
      <w:r>
        <w:t xml:space="preserve">Отчет по модели обслуживания в порту судов двух типов в gpss, ч1 (рис.</w:t>
      </w:r>
      <w:r>
        <w:t xml:space="preserve"> </w:t>
      </w:r>
      <w:r>
        <w:t xml:space="preserve">[-@fig:004]</w:t>
      </w:r>
      <w:r>
        <w:t xml:space="preserve">).</w:t>
      </w:r>
    </w:p>
    <w:p>
      <w:pPr>
        <w:pStyle w:val="CaptionedFigure"/>
      </w:pPr>
      <w:r>
        <w:drawing>
          <wp:inline>
            <wp:extent cx="3733800" cy="4230604"/>
            <wp:effectExtent b="0" l="0" r="0" t="0"/>
            <wp:docPr descr="Отчет по модели обслуживания в порту судов двух типов в gpss, ч1"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4230604"/>
                    </a:xfrm>
                    <a:prstGeom prst="rect">
                      <a:avLst/>
                    </a:prstGeom>
                    <a:noFill/>
                    <a:ln w="9525">
                      <a:noFill/>
                      <a:headEnd/>
                      <a:tailEnd/>
                    </a:ln>
                  </pic:spPr>
                </pic:pic>
              </a:graphicData>
            </a:graphic>
          </wp:inline>
        </w:drawing>
      </w:r>
    </w:p>
    <w:p>
      <w:pPr>
        <w:pStyle w:val="ImageCaption"/>
      </w:pPr>
      <w:r>
        <w:t xml:space="preserve">Отчет по модели обслуживания в порту судов двух типов в gpss, ч1</w:t>
      </w:r>
    </w:p>
    <w:p>
      <w:pPr>
        <w:pStyle w:val="BodyText"/>
      </w:pPr>
      <w:r>
        <w:t xml:space="preserve">Моделирование началось с нулевой отметки по времени и продолжалось до достижения предельного значения в 175200 условных единиц. За это время в работе модели были задействованы 28 логических блоков. Одноканальные ресурсы в данной системе не использовались, в то время как многоканальных устройств было три. Ключевые элементы модели — это два типа судов (TYPE1 и TYPE2) и два соответствующих типа причалов (PRCH1 и PRCH2).</w:t>
      </w:r>
    </w:p>
    <w:p>
      <w:pPr>
        <w:pStyle w:val="BodyText"/>
      </w:pPr>
      <w:r>
        <w:t xml:space="preserve">В процессе симуляции система сформировала 1345 запросов для судов первого типа и 446 для второго. Обработке были подвергнуты практически все из них: 1339 первого типа и 365 второго.</w:t>
      </w:r>
    </w:p>
    <w:p>
      <w:pPr>
        <w:pStyle w:val="BodyText"/>
      </w:pPr>
      <w:r>
        <w:t xml:space="preserve">Для судов первого типа в очереди одновременно максимально ожидали до четырёх единиц. К окончанию симуляции эта очередь оказалась полностью свободной. Через неё прошло 1345 обращений, из которых 288 были обслужены сразу, минуя ожидание. Средняя загрузка составляла менее одного судна в любой момент времени (0,750), а средняя длительность пребывания в очереди — около 97,7 минут. Если исключить обращения без ожидания, этот показатель возрастает до 124,35 минут.</w:t>
      </w:r>
    </w:p>
    <w:p>
      <w:pPr>
        <w:pStyle w:val="BodyText"/>
      </w:pPr>
      <w:r>
        <w:t xml:space="preserve">Аналогичная структура очереди использовалась и для второго типа судов. Здесь также максимум составлял 4 судна, но к завершению работы в очереди оставались ещё два. Через систему прошло 446 таких запросов, 35 из них были приняты моментально. В среднем в очереди находилось около 0,9 судна, а средняя продолжительность ожидания составила 352,6 минут, увеличиваясь до 382,6 минут при исключении мгновенных обработок.</w:t>
      </w:r>
    </w:p>
    <w:p>
      <w:pPr>
        <w:pStyle w:val="BodyText"/>
      </w:pPr>
      <w:r>
        <w:t xml:space="preserve">Все обращения от судов первого типа были направлены на группу из шести причалов. Эти причалы показали высокую эффективность работы — почти 97,7% времени они были заняты, при этом средняя продолжительность обработки одного судна составила 5,86 минут.</w:t>
      </w:r>
    </w:p>
    <w:p>
      <w:pPr>
        <w:pStyle w:val="BodyText"/>
      </w:pPr>
      <w:r>
        <w:t xml:space="preserve">Для судов второго типа использовалась группа из трёх причалов. Через них прошло 444 обращения, а коэффициент занятости оказался ещё выше — 98,3%. Среднее время взаимодействия с одним судном было значительно меньше — около 2,95 минут.</w:t>
      </w:r>
    </w:p>
    <w:p>
      <w:pPr>
        <w:pStyle w:val="BodyText"/>
      </w:pPr>
      <w:r>
        <w:t xml:space="preserve">Система также включала два буксира, которые обеспечивали перемещение судов. Всего за моделируемый период они выполнили 4454 операций, что обусловлено тем, что каждое судно использовало буксирные услуги дважды: один буксир — для судов первого типа и оба буксира — для второго. В среднем уровень их загрузки составил 78,6%, при этом каждая операция занимала около 0,393 минут.</w:t>
      </w:r>
    </w:p>
    <w:bookmarkEnd w:id="35"/>
    <w:bookmarkEnd w:id="36"/>
    <w:bookmarkStart w:id="37" w:name="выводы"/>
    <w:p>
      <w:pPr>
        <w:pStyle w:val="Heading1"/>
      </w:pPr>
      <w:r>
        <w:t xml:space="preserve">Выводы</w:t>
      </w:r>
    </w:p>
    <w:p>
      <w:pPr>
        <w:pStyle w:val="FirstParagraph"/>
      </w:pPr>
      <w:r>
        <w:t xml:space="preserve">В результате выполнения лабораторной работы удалось реализовать модели обслуживания с приоритетами и провести анализ результатов.</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№15</dc:title>
  <dc:creator>Гэинэ Андрей НФИбд-02-22</dc:creator>
  <dc:language>ru-RU</dc:language>
  <cp:keywords/>
  <dcterms:created xsi:type="dcterms:W3CDTF">2025-10-24T04:33:29Z</dcterms:created>
  <dcterms:modified xsi:type="dcterms:W3CDTF">2025-10-24T04:33:29Z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Arial</vt:lpwstr>
  </property>
  <property fmtid="{D5CDD505-2E9C-101B-9397-08002B2CF9AE}" pid="22" name="mainfontoptions">
    <vt:lpwstr>Ligatures=TeX</vt:lpwstr>
  </property>
  <property fmtid="{D5CDD505-2E9C-101B-9397-08002B2CF9AE}" pid="23" name="monofont">
    <vt:lpwstr>Arial</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Arial</vt:lpwstr>
  </property>
  <property fmtid="{D5CDD505-2E9C-101B-9397-08002B2CF9AE}" pid="29" name="romanfontoptions">
    <vt:lpwstr>Ligatures=TeX</vt:lpwstr>
  </property>
  <property fmtid="{D5CDD505-2E9C-101B-9397-08002B2CF9AE}" pid="30" name="sansfont">
    <vt:lpwstr>Arial</vt:lpwstr>
  </property>
  <property fmtid="{D5CDD505-2E9C-101B-9397-08002B2CF9AE}" pid="31" name="sansfontoptions">
    <vt:lpwstr>Ligatures=TeX,Scale=MatchLowercase</vt:lpwstr>
  </property>
  <property fmtid="{D5CDD505-2E9C-101B-9397-08002B2CF9AE}" pid="32" name="subtitle">
    <vt:lpwstr>Модели обслуживания с приоритетами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