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76278F4D"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plataforma permite ao usuári</w:t>
      </w:r>
      <w:r w:rsidR="0057306B">
        <w:t>o locador</w:t>
      </w:r>
      <w:r w:rsidR="00BC4852">
        <w:t xml:space="preserve">,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72E8632C" w:rsidR="00B070CC" w:rsidRPr="001872B2" w:rsidRDefault="00210588" w:rsidP="00CF15F5">
      <w:pPr>
        <w:spacing w:after="200" w:line="276" w:lineRule="auto"/>
        <w:jc w:val="center"/>
        <w:rPr>
          <w:b/>
          <w:bCs/>
        </w:rPr>
      </w:pPr>
      <w:r>
        <w:rPr>
          <w:b/>
          <w:bCs/>
          <w:noProof/>
        </w:rPr>
        <w:drawing>
          <wp:inline distT="0" distB="0" distL="0" distR="0" wp14:anchorId="58318871" wp14:editId="5104BF2E">
            <wp:extent cx="5400040" cy="42487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400040" cy="4248785"/>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EFB174D"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0A9C47A0" w14:textId="159CF0A2" w:rsidR="00371C16" w:rsidRPr="00210588" w:rsidRDefault="00371C16" w:rsidP="00E90497">
      <w:pPr>
        <w:spacing w:after="200" w:line="276" w:lineRule="auto"/>
        <w:jc w:val="both"/>
      </w:pP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58D25380"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7D730FCB"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 CPF na tela correspondente, para que assim o sistema possa ser utilizado, de acordo com o papel do usuário no sistema (administrador, locador ou locatário).</w:t>
      </w:r>
    </w:p>
    <w:p w14:paraId="3FDABCF0" w14:textId="5EC012BF" w:rsidR="00FB4FE9"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5BC2389D" w:rsidR="00E05BA1" w:rsidRPr="001872B2" w:rsidRDefault="00E05BA1" w:rsidP="00E90497">
      <w:pPr>
        <w:spacing w:after="200" w:line="276" w:lineRule="auto"/>
        <w:jc w:val="both"/>
      </w:pPr>
      <w:r>
        <w:tab/>
      </w:r>
      <w:r w:rsidR="00C44A2F">
        <w:t>Em relação aos dois primeiros casos de uso, a única 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EFFA" w14:textId="77777777" w:rsidR="00374703" w:rsidRDefault="00374703" w:rsidP="00CE4CD5">
      <w:r>
        <w:separator/>
      </w:r>
    </w:p>
  </w:endnote>
  <w:endnote w:type="continuationSeparator" w:id="0">
    <w:p w14:paraId="43238636" w14:textId="77777777" w:rsidR="00374703" w:rsidRDefault="00374703"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8580" w14:textId="77777777" w:rsidR="00374703" w:rsidRDefault="00374703" w:rsidP="00CE4CD5">
      <w:r>
        <w:separator/>
      </w:r>
    </w:p>
  </w:footnote>
  <w:footnote w:type="continuationSeparator" w:id="0">
    <w:p w14:paraId="6A34AD85" w14:textId="77777777" w:rsidR="00374703" w:rsidRDefault="00374703"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74703"/>
    <w:rsid w:val="003C1EC5"/>
    <w:rsid w:val="003D6AC9"/>
    <w:rsid w:val="0040491F"/>
    <w:rsid w:val="00415888"/>
    <w:rsid w:val="004C7E4C"/>
    <w:rsid w:val="00562607"/>
    <w:rsid w:val="0057306B"/>
    <w:rsid w:val="005C31D1"/>
    <w:rsid w:val="005D64DA"/>
    <w:rsid w:val="005E0E0B"/>
    <w:rsid w:val="005E58E8"/>
    <w:rsid w:val="006178B3"/>
    <w:rsid w:val="0064042A"/>
    <w:rsid w:val="00681A74"/>
    <w:rsid w:val="00692104"/>
    <w:rsid w:val="006B4C7E"/>
    <w:rsid w:val="006C0D87"/>
    <w:rsid w:val="006E73CB"/>
    <w:rsid w:val="006F21BB"/>
    <w:rsid w:val="00707F18"/>
    <w:rsid w:val="00730EF2"/>
    <w:rsid w:val="00745FDB"/>
    <w:rsid w:val="007639EC"/>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563C3"/>
    <w:rsid w:val="00970DBE"/>
    <w:rsid w:val="009900B9"/>
    <w:rsid w:val="009B70DC"/>
    <w:rsid w:val="00A401D1"/>
    <w:rsid w:val="00A54990"/>
    <w:rsid w:val="00A569A3"/>
    <w:rsid w:val="00A910BB"/>
    <w:rsid w:val="00A96B96"/>
    <w:rsid w:val="00AC7357"/>
    <w:rsid w:val="00AE3A41"/>
    <w:rsid w:val="00B01CD0"/>
    <w:rsid w:val="00B070CC"/>
    <w:rsid w:val="00B3756D"/>
    <w:rsid w:val="00B61A92"/>
    <w:rsid w:val="00B86105"/>
    <w:rsid w:val="00B9325D"/>
    <w:rsid w:val="00BC4852"/>
    <w:rsid w:val="00BC6C8D"/>
    <w:rsid w:val="00BE77CC"/>
    <w:rsid w:val="00BF220E"/>
    <w:rsid w:val="00C004B3"/>
    <w:rsid w:val="00C03902"/>
    <w:rsid w:val="00C24CD0"/>
    <w:rsid w:val="00C44A2F"/>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9</Pages>
  <Words>1378</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134</cp:revision>
  <cp:lastPrinted>2023-02-05T20:25:00Z</cp:lastPrinted>
  <dcterms:created xsi:type="dcterms:W3CDTF">2022-08-02T23:47:00Z</dcterms:created>
  <dcterms:modified xsi:type="dcterms:W3CDTF">2023-02-05T20:29:00Z</dcterms:modified>
</cp:coreProperties>
</file>