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1"/>
        <w:rPr>
          <w:sz w:val="28"/>
          <w:szCs w:val="28"/>
        </w:rPr>
      </w:pPr>
    </w:p>
    <w:tbl>
      <w:tblPr>
        <w:tblW w:w="1058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7"/>
        <w:gridCol w:w="8145"/>
      </w:tblGrid>
      <w:tr>
        <w:tblPrEx>
          <w:shd w:val="clear" w:color="auto" w:fill="ced7e7"/>
        </w:tblPrEx>
        <w:trPr>
          <w:trHeight w:val="351"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Project Name</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i w:val="1"/>
                <w:iCs w:val="1"/>
                <w:shd w:val="nil" w:color="auto" w:fill="auto"/>
                <w:rtl w:val="0"/>
                <w:lang w:val="en-US"/>
              </w:rPr>
              <w:t xml:space="preserve">EEG Hyperscanning During Cooperative </w:t>
            </w:r>
            <w:r>
              <w:rPr>
                <w:i w:val="1"/>
                <w:iCs w:val="1"/>
                <w:shd w:val="nil" w:color="auto" w:fill="auto"/>
                <w:rtl w:val="0"/>
                <w:lang w:val="en-US"/>
              </w:rPr>
              <w:t xml:space="preserve">and Competitive </w:t>
            </w:r>
            <w:r>
              <w:rPr>
                <w:i w:val="1"/>
                <w:iCs w:val="1"/>
                <w:shd w:val="nil" w:color="auto" w:fill="auto"/>
                <w:rtl w:val="0"/>
                <w:lang w:val="en-US"/>
              </w:rPr>
              <w:t xml:space="preserve">Interaction </w:t>
            </w:r>
          </w:p>
        </w:tc>
      </w:tr>
      <w:tr>
        <w:tblPrEx>
          <w:shd w:val="clear" w:color="auto" w:fill="ced7e7"/>
        </w:tblPrEx>
        <w:trPr>
          <w:trHeight w:val="351"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Project Type</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i w:val="1"/>
                <w:iCs w:val="1"/>
                <w:shd w:val="nil" w:color="auto" w:fill="auto"/>
                <w:rtl w:val="0"/>
                <w:lang w:val="en-US"/>
              </w:rPr>
              <w:t>Replication and Research</w:t>
            </w:r>
          </w:p>
        </w:tc>
      </w:tr>
      <w:tr>
        <w:tblPrEx>
          <w:shd w:val="clear" w:color="auto" w:fill="ced7e7"/>
        </w:tblPrEx>
        <w:trPr>
          <w:trHeight w:val="351"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Team Name</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i w:val="1"/>
                <w:iCs w:val="1"/>
                <w:shd w:val="nil" w:color="auto" w:fill="auto"/>
                <w:rtl w:val="0"/>
                <w:lang w:val="en-US"/>
              </w:rPr>
              <w:t>GEE</w:t>
            </w:r>
          </w:p>
        </w:tc>
      </w:tr>
      <w:tr>
        <w:tblPrEx>
          <w:shd w:val="clear" w:color="auto" w:fill="ced7e7"/>
        </w:tblPrEx>
        <w:trPr>
          <w:trHeight w:val="993"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Project Team</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i w:val="1"/>
                <w:iCs w:val="1"/>
                <w:shd w:val="nil" w:color="auto" w:fill="auto"/>
              </w:rPr>
            </w:pPr>
            <w:r>
              <w:rPr>
                <w:i w:val="1"/>
                <w:iCs w:val="1"/>
                <w:shd w:val="nil" w:color="auto" w:fill="auto"/>
                <w:rtl w:val="0"/>
                <w:lang w:val="en-US"/>
              </w:rPr>
              <w:t xml:space="preserve">Artem Sevastopolsky </w:t>
            </w:r>
            <w:r>
              <w:rPr>
                <w:i w:val="1"/>
                <w:iCs w:val="1"/>
                <w:shd w:val="nil" w:color="auto" w:fill="auto"/>
                <w:rtl w:val="0"/>
                <w:lang w:val="en-US"/>
              </w:rPr>
              <w:t xml:space="preserve">– </w:t>
            </w:r>
            <w:r>
              <w:rPr>
                <w:i w:val="1"/>
                <w:iCs w:val="1"/>
                <w:shd w:val="nil" w:color="auto" w:fill="auto"/>
                <w:rtl w:val="0"/>
                <w:lang w:val="en-US"/>
              </w:rPr>
              <w:t>specializes in deep learning for computer vision and biomedical data analysis</w:t>
            </w:r>
          </w:p>
          <w:p>
            <w:pPr>
              <w:pStyle w:val="Normal1"/>
              <w:widowControl w:val="0"/>
              <w:bidi w:val="0"/>
              <w:spacing w:line="240" w:lineRule="auto"/>
              <w:ind w:left="0" w:right="0" w:firstLine="0"/>
              <w:jc w:val="left"/>
              <w:rPr>
                <w:rtl w:val="0"/>
              </w:rPr>
            </w:pPr>
            <w:r>
              <w:rPr>
                <w:i w:val="1"/>
                <w:iCs w:val="1"/>
                <w:shd w:val="nil" w:color="auto" w:fill="auto"/>
                <w:rtl w:val="0"/>
                <w:lang w:val="en-US"/>
              </w:rPr>
              <w:t xml:space="preserve">Andrei Znobishchev </w:t>
            </w:r>
            <w:r>
              <w:rPr>
                <w:i w:val="1"/>
                <w:iCs w:val="1"/>
                <w:shd w:val="nil" w:color="auto" w:fill="auto"/>
                <w:rtl w:val="0"/>
                <w:lang w:val="en-US"/>
              </w:rPr>
              <w:t xml:space="preserve">– </w:t>
            </w:r>
            <w:r>
              <w:rPr>
                <w:i w:val="1"/>
                <w:iCs w:val="1"/>
                <w:shd w:val="nil" w:color="auto" w:fill="auto"/>
                <w:rtl w:val="0"/>
                <w:lang w:val="en-US"/>
              </w:rPr>
              <w:t>specializes in classical and novel machine learning methods for analysis of EEG and ECoG, experiment setup;</w:t>
            </w:r>
          </w:p>
        </w:tc>
      </w:tr>
      <w:tr>
        <w:tblPrEx>
          <w:shd w:val="clear" w:color="auto" w:fill="ced7e7"/>
        </w:tblPrEx>
        <w:trPr>
          <w:trHeight w:val="351"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Who suggested</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i w:val="1"/>
                <w:iCs w:val="1"/>
                <w:shd w:val="nil" w:color="auto" w:fill="auto"/>
                <w:rtl w:val="0"/>
                <w:lang w:val="en-US"/>
              </w:rPr>
              <w:t>Atrem Sevastopolsky and Andrei Znobishchev</w:t>
            </w:r>
          </w:p>
        </w:tc>
      </w:tr>
      <w:tr>
        <w:tblPrEx>
          <w:shd w:val="clear" w:color="auto" w:fill="ced7e7"/>
        </w:tblPrEx>
        <w:trPr>
          <w:trHeight w:val="1953"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Proposal</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i w:val="1"/>
                <w:iCs w:val="1"/>
                <w:shd w:val="nil" w:color="auto" w:fill="auto"/>
                <w:rtl w:val="0"/>
                <w:lang w:val="en-US"/>
              </w:rPr>
              <w:t>Hyperscanning is the simultaneous recording of brain activity of multiple subjects. High temporal resolution of EEG provides an opportunity to study cerebral processes generated by social interactions. Recent studies showed that such characteristics as Information flow, Granger causality and others can be reliably detected when subjects interact cooperatively [1], [2]. Identified cooperative features might indicate how well a group of people will cope with each other and work as a team. This should be useful for assessing a team of co-workers, sports team members, video-game players and so forth.</w:t>
            </w:r>
          </w:p>
        </w:tc>
      </w:tr>
      <w:tr>
        <w:tblPrEx>
          <w:shd w:val="clear" w:color="auto" w:fill="ced7e7"/>
        </w:tblPrEx>
        <w:trPr>
          <w:trHeight w:val="4333"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Specific Tasks &amp; Expected results</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numPr>
                <w:ilvl w:val="0"/>
                <w:numId w:val="1"/>
              </w:numPr>
              <w:spacing w:line="240" w:lineRule="auto"/>
              <w:rPr>
                <w:i w:val="1"/>
                <w:iCs w:val="1"/>
                <w:lang w:val="en-US"/>
              </w:rPr>
            </w:pPr>
            <w:r>
              <w:rPr>
                <w:i w:val="1"/>
                <w:iCs w:val="1"/>
                <w:shd w:val="nil" w:color="auto" w:fill="auto"/>
                <w:rtl w:val="0"/>
                <w:lang w:val="en-US"/>
              </w:rPr>
              <w:t>Replicate one experiment from the paper (</w:t>
            </w:r>
            <w:r>
              <w:rPr>
                <w:i w:val="1"/>
                <w:iCs w:val="1"/>
                <w:shd w:val="nil" w:color="auto" w:fill="auto"/>
                <w:rtl w:val="0"/>
                <w:lang w:val="en-US"/>
              </w:rPr>
              <w:t>“</w:t>
            </w:r>
            <w:r>
              <w:rPr>
                <w:i w:val="1"/>
                <w:iCs w:val="1"/>
                <w:shd w:val="nil" w:color="auto" w:fill="auto"/>
                <w:rtl w:val="0"/>
                <w:lang w:val="en-US"/>
              </w:rPr>
              <w:t>hit the ball</w:t>
            </w:r>
            <w:r>
              <w:rPr>
                <w:i w:val="1"/>
                <w:iCs w:val="1"/>
                <w:shd w:val="nil" w:color="auto" w:fill="auto"/>
                <w:rtl w:val="0"/>
                <w:lang w:val="en-US"/>
              </w:rPr>
              <w:t xml:space="preserve">” </w:t>
            </w:r>
            <w:r>
              <w:rPr>
                <w:i w:val="1"/>
                <w:iCs w:val="1"/>
                <w:shd w:val="nil" w:color="auto" w:fill="auto"/>
                <w:rtl w:val="0"/>
                <w:lang w:val="en-US"/>
              </w:rPr>
              <w:t>experiment [3] with two conditions: 1) each player vs. PC independently; 2) players cooperate playing against the PC;</w:t>
            </w:r>
          </w:p>
          <w:p>
            <w:pPr>
              <w:pStyle w:val="Normal1"/>
              <w:widowControl w:val="0"/>
              <w:numPr>
                <w:ilvl w:val="0"/>
                <w:numId w:val="1"/>
              </w:numPr>
              <w:bidi w:val="0"/>
              <w:spacing w:line="240" w:lineRule="auto"/>
              <w:ind w:right="0"/>
              <w:jc w:val="left"/>
              <w:rPr>
                <w:i w:val="1"/>
                <w:iCs w:val="1"/>
                <w:rtl w:val="0"/>
                <w:lang w:val="en-US"/>
              </w:rPr>
            </w:pPr>
            <w:r>
              <w:rPr>
                <w:i w:val="1"/>
                <w:iCs w:val="1"/>
                <w:shd w:val="nil" w:color="auto" w:fill="auto"/>
                <w:rtl w:val="0"/>
                <w:lang w:val="en-US"/>
              </w:rPr>
              <w:t>Conduct 3 novel experiments:</w:t>
            </w:r>
          </w:p>
          <w:p>
            <w:pPr>
              <w:pStyle w:val="Normal1"/>
              <w:widowControl w:val="0"/>
              <w:numPr>
                <w:ilvl w:val="0"/>
                <w:numId w:val="2"/>
              </w:numPr>
              <w:bidi w:val="0"/>
              <w:spacing w:line="240" w:lineRule="auto"/>
              <w:ind w:right="0"/>
              <w:jc w:val="left"/>
              <w:rPr>
                <w:i w:val="1"/>
                <w:iCs w:val="1"/>
                <w:rtl w:val="0"/>
                <w:lang w:val="en-US"/>
              </w:rPr>
            </w:pPr>
            <w:r>
              <w:rPr>
                <w:i w:val="1"/>
                <w:iCs w:val="1"/>
                <w:shd w:val="nil" w:color="auto" w:fill="auto"/>
                <w:rtl w:val="0"/>
                <w:lang w:val="en-US"/>
              </w:rPr>
              <w:t>Prisoner</w:t>
            </w:r>
            <w:r>
              <w:rPr>
                <w:i w:val="1"/>
                <w:iCs w:val="1"/>
                <w:shd w:val="nil" w:color="auto" w:fill="auto"/>
                <w:rtl w:val="0"/>
                <w:lang w:val="en-US"/>
              </w:rPr>
              <w:t>’</w:t>
            </w:r>
            <w:r>
              <w:rPr>
                <w:i w:val="1"/>
                <w:iCs w:val="1"/>
                <w:shd w:val="nil" w:color="auto" w:fill="auto"/>
                <w:rtl w:val="0"/>
                <w:lang w:val="en-US"/>
              </w:rPr>
              <w:t xml:space="preserve">s Dilemma experiment (also, with two conditions </w:t>
            </w:r>
            <w:r>
              <w:rPr>
                <w:i w:val="1"/>
                <w:iCs w:val="1"/>
                <w:shd w:val="nil" w:color="auto" w:fill="auto"/>
                <w:rtl w:val="0"/>
                <w:lang w:val="en-US"/>
              </w:rPr>
              <w:t xml:space="preserve">– </w:t>
            </w:r>
            <w:r>
              <w:rPr>
                <w:i w:val="1"/>
                <w:iCs w:val="1"/>
                <w:shd w:val="nil" w:color="auto" w:fill="auto"/>
                <w:rtl w:val="0"/>
                <w:lang w:val="en-US"/>
              </w:rPr>
              <w:t>independently against PC and cooperating against PC);</w:t>
            </w:r>
          </w:p>
          <w:p>
            <w:pPr>
              <w:pStyle w:val="Normal1"/>
              <w:widowControl w:val="0"/>
              <w:numPr>
                <w:ilvl w:val="0"/>
                <w:numId w:val="2"/>
              </w:numPr>
              <w:bidi w:val="0"/>
              <w:spacing w:line="240" w:lineRule="auto"/>
              <w:ind w:right="0"/>
              <w:jc w:val="left"/>
              <w:rPr>
                <w:i w:val="1"/>
                <w:iCs w:val="1"/>
                <w:rtl w:val="0"/>
                <w:lang w:val="en-US"/>
              </w:rPr>
            </w:pPr>
            <w:r>
              <w:rPr>
                <w:i w:val="1"/>
                <w:iCs w:val="1"/>
                <w:shd w:val="nil" w:color="auto" w:fill="auto"/>
                <w:rtl w:val="0"/>
                <w:lang w:val="en-US"/>
              </w:rPr>
              <w:t xml:space="preserve">Playing a shooter game, i.e. Counter Strike in a simplified map (two conditions </w:t>
            </w:r>
            <w:r>
              <w:rPr>
                <w:i w:val="1"/>
                <w:iCs w:val="1"/>
                <w:shd w:val="nil" w:color="auto" w:fill="auto"/>
                <w:rtl w:val="0"/>
                <w:lang w:val="en-US"/>
              </w:rPr>
              <w:t xml:space="preserve">– </w:t>
            </w:r>
            <w:r>
              <w:rPr>
                <w:i w:val="1"/>
                <w:iCs w:val="1"/>
                <w:shd w:val="nil" w:color="auto" w:fill="auto"/>
                <w:rtl w:val="0"/>
                <w:lang w:val="en-US"/>
              </w:rPr>
              <w:t>independently against PC and cooperating against PC);</w:t>
            </w:r>
          </w:p>
          <w:p>
            <w:pPr>
              <w:pStyle w:val="Normal1"/>
              <w:widowControl w:val="0"/>
              <w:numPr>
                <w:ilvl w:val="0"/>
                <w:numId w:val="2"/>
              </w:numPr>
              <w:bidi w:val="0"/>
              <w:spacing w:line="240" w:lineRule="auto"/>
              <w:ind w:right="0"/>
              <w:jc w:val="left"/>
              <w:rPr>
                <w:i w:val="1"/>
                <w:iCs w:val="1"/>
                <w:rtl w:val="0"/>
                <w:lang w:val="en-US"/>
              </w:rPr>
            </w:pPr>
            <w:r>
              <w:rPr>
                <w:i w:val="1"/>
                <w:iCs w:val="1"/>
                <w:shd w:val="nil" w:color="auto" w:fill="auto"/>
                <w:rtl w:val="0"/>
                <w:lang w:val="en-US"/>
              </w:rPr>
              <w:t>Reading and listening experiment. Two conditions: 1) a subject reads a piece of text while recording his speech; the other subject listens to the pre-recorded speech; 2) a subject reads a piece of text to the other subject;</w:t>
            </w:r>
          </w:p>
          <w:p>
            <w:pPr>
              <w:pStyle w:val="Normal1"/>
              <w:widowControl w:val="0"/>
              <w:numPr>
                <w:ilvl w:val="0"/>
                <w:numId w:val="3"/>
              </w:numPr>
              <w:bidi w:val="0"/>
              <w:spacing w:line="240" w:lineRule="auto"/>
              <w:ind w:right="0"/>
              <w:jc w:val="left"/>
              <w:rPr>
                <w:i w:val="1"/>
                <w:iCs w:val="1"/>
                <w:rtl w:val="0"/>
                <w:lang w:val="en-US"/>
              </w:rPr>
            </w:pPr>
            <w:r>
              <w:rPr>
                <w:i w:val="1"/>
                <w:iCs w:val="1"/>
                <w:shd w:val="nil" w:color="auto" w:fill="auto"/>
                <w:rtl w:val="0"/>
                <w:lang w:val="en-US"/>
              </w:rPr>
              <w:t xml:space="preserve">Collect data from at least two subjects in the experiments described above; </w:t>
            </w:r>
          </w:p>
          <w:p>
            <w:pPr>
              <w:pStyle w:val="Normal1"/>
              <w:widowControl w:val="0"/>
              <w:numPr>
                <w:ilvl w:val="0"/>
                <w:numId w:val="3"/>
              </w:numPr>
              <w:bidi w:val="0"/>
              <w:spacing w:line="240" w:lineRule="auto"/>
              <w:ind w:right="0"/>
              <w:jc w:val="left"/>
              <w:rPr>
                <w:i w:val="1"/>
                <w:iCs w:val="1"/>
                <w:rtl w:val="0"/>
                <w:lang w:val="en-US"/>
              </w:rPr>
            </w:pPr>
            <w:r>
              <w:rPr>
                <w:i w:val="1"/>
                <w:iCs w:val="1"/>
                <w:shd w:val="nil" w:color="auto" w:fill="auto"/>
                <w:rtl w:val="0"/>
                <w:lang w:val="en-US"/>
              </w:rPr>
              <w:t>Preprocess data (import, rereference, remove artifacts);</w:t>
            </w:r>
          </w:p>
          <w:p>
            <w:pPr>
              <w:pStyle w:val="Normal1"/>
              <w:widowControl w:val="0"/>
              <w:numPr>
                <w:ilvl w:val="0"/>
                <w:numId w:val="3"/>
              </w:numPr>
              <w:bidi w:val="0"/>
              <w:spacing w:line="240" w:lineRule="auto"/>
              <w:ind w:right="0"/>
              <w:jc w:val="left"/>
              <w:rPr>
                <w:i w:val="1"/>
                <w:iCs w:val="1"/>
                <w:rtl w:val="0"/>
                <w:lang w:val="en-US"/>
              </w:rPr>
            </w:pPr>
            <w:r>
              <w:rPr>
                <w:i w:val="1"/>
                <w:iCs w:val="1"/>
                <w:shd w:val="nil" w:color="auto" w:fill="auto"/>
                <w:rtl w:val="0"/>
                <w:lang w:val="en-US"/>
              </w:rPr>
              <w:t>Calculate and statistically analyze features such as Information flow between various EEG channels [4], [5], [6], [7];</w:t>
            </w:r>
          </w:p>
          <w:p>
            <w:pPr>
              <w:pStyle w:val="Normal1"/>
              <w:widowControl w:val="0"/>
              <w:numPr>
                <w:ilvl w:val="0"/>
                <w:numId w:val="3"/>
              </w:numPr>
              <w:bidi w:val="0"/>
              <w:spacing w:line="240" w:lineRule="auto"/>
              <w:ind w:right="0"/>
              <w:jc w:val="left"/>
              <w:rPr>
                <w:i w:val="1"/>
                <w:iCs w:val="1"/>
                <w:rtl w:val="0"/>
                <w:lang w:val="en-US"/>
              </w:rPr>
            </w:pPr>
            <w:r>
              <w:rPr>
                <w:i w:val="1"/>
                <w:iCs w:val="1"/>
                <w:shd w:val="nil" w:color="auto" w:fill="auto"/>
                <w:rtl w:val="0"/>
                <w:lang w:val="en-US"/>
              </w:rPr>
              <w:t>Visualize obtained results.</w:t>
            </w:r>
          </w:p>
        </w:tc>
      </w:tr>
      <w:tr>
        <w:tblPrEx>
          <w:shd w:val="clear" w:color="auto" w:fill="ced7e7"/>
        </w:tblPrEx>
        <w:trPr>
          <w:trHeight w:val="3920"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Relevant papers</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96"/>
              <w:bottom w:type="dxa" w:w="80"/>
              <w:right w:type="dxa" w:w="80"/>
            </w:tcMar>
            <w:vAlign w:val="top"/>
          </w:tcPr>
          <w:p>
            <w:pPr>
              <w:pStyle w:val="Normal1"/>
              <w:widowControl w:val="0"/>
              <w:spacing w:line="240" w:lineRule="auto"/>
              <w:ind w:left="316" w:firstLine="0"/>
              <w:rPr>
                <w:i w:val="1"/>
                <w:iCs w:val="1"/>
                <w:shd w:val="nil" w:color="auto" w:fill="auto"/>
              </w:rPr>
            </w:pPr>
            <w:r>
              <w:rPr>
                <w:i w:val="1"/>
                <w:iCs w:val="1"/>
                <w:shd w:val="nil" w:color="auto" w:fill="auto"/>
                <w:rtl w:val="0"/>
                <w:lang w:val="en-US"/>
              </w:rPr>
              <w:t xml:space="preserve">[1] Czeszumski A., et al., </w:t>
            </w:r>
            <w:r>
              <w:rPr>
                <w:i w:val="1"/>
                <w:iCs w:val="1"/>
                <w:shd w:val="nil" w:color="auto" w:fill="auto"/>
                <w:rtl w:val="0"/>
                <w:lang w:val="en-US"/>
              </w:rPr>
              <w:t>“</w:t>
            </w:r>
            <w:r>
              <w:rPr>
                <w:i w:val="1"/>
                <w:iCs w:val="1"/>
                <w:shd w:val="nil" w:color="auto" w:fill="auto"/>
                <w:rtl w:val="0"/>
                <w:lang w:val="en-US"/>
              </w:rPr>
              <w:t>Hyperscanning: A Valid Method to Study Neural Inter-brain Underpinnings of Social Interaction</w:t>
            </w:r>
            <w:r>
              <w:rPr>
                <w:i w:val="1"/>
                <w:iCs w:val="1"/>
                <w:shd w:val="nil" w:color="auto" w:fill="auto"/>
                <w:rtl w:val="0"/>
                <w:lang w:val="en-US"/>
              </w:rPr>
              <w:t>”</w:t>
            </w:r>
            <w:r>
              <w:rPr>
                <w:i w:val="1"/>
                <w:iCs w:val="1"/>
                <w:shd w:val="nil" w:color="auto" w:fill="auto"/>
                <w:rtl w:val="0"/>
                <w:lang w:val="en-US"/>
              </w:rPr>
              <w:t>, 2020;</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[2] Balconi M., Vanutelli M., </w:t>
            </w:r>
            <w:r>
              <w:rPr>
                <w:i w:val="1"/>
                <w:iCs w:val="1"/>
                <w:shd w:val="nil" w:color="auto" w:fill="auto"/>
                <w:rtl w:val="0"/>
                <w:lang w:val="en-US"/>
              </w:rPr>
              <w:t>“</w:t>
            </w:r>
            <w:r>
              <w:rPr>
                <w:i w:val="1"/>
                <w:iCs w:val="1"/>
                <w:shd w:val="nil" w:color="auto" w:fill="auto"/>
                <w:rtl w:val="0"/>
                <w:lang w:val="en-US"/>
              </w:rPr>
              <w:t>Cooperation and Competition with Hyperscanning Methods: Review and Future Application to Emotion Domain</w:t>
            </w:r>
            <w:r>
              <w:rPr>
                <w:i w:val="1"/>
                <w:iCs w:val="1"/>
                <w:shd w:val="nil" w:color="auto" w:fill="auto"/>
                <w:rtl w:val="0"/>
                <w:lang w:val="en-US"/>
              </w:rPr>
              <w:t>”</w:t>
            </w:r>
            <w:r>
              <w:rPr>
                <w:i w:val="1"/>
                <w:iCs w:val="1"/>
                <w:shd w:val="nil" w:color="auto" w:fill="auto"/>
                <w:rtl w:val="0"/>
                <w:lang w:val="en-US"/>
              </w:rPr>
              <w:t>, 2017;</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[3] Sinha N., et al., </w:t>
            </w:r>
            <w:r>
              <w:rPr>
                <w:i w:val="1"/>
                <w:iCs w:val="1"/>
                <w:shd w:val="nil" w:color="auto" w:fill="auto"/>
                <w:rtl w:val="0"/>
                <w:lang w:val="en-US"/>
              </w:rPr>
              <w:t>“</w:t>
            </w:r>
            <w:r>
              <w:rPr>
                <w:i w:val="1"/>
                <w:iCs w:val="1"/>
                <w:shd w:val="nil" w:color="auto" w:fill="auto"/>
                <w:rtl w:val="0"/>
                <w:lang w:val="en-US"/>
              </w:rPr>
              <w:t>EEG hyperscanning study of inter-brain synchrony during cooperative and competitive interaction</w:t>
            </w:r>
            <w:r>
              <w:rPr>
                <w:i w:val="1"/>
                <w:iCs w:val="1"/>
                <w:shd w:val="nil" w:color="auto" w:fill="auto"/>
                <w:rtl w:val="0"/>
                <w:lang w:val="en-US"/>
              </w:rPr>
              <w:t>”</w:t>
            </w:r>
            <w:r>
              <w:rPr>
                <w:i w:val="1"/>
                <w:iCs w:val="1"/>
                <w:shd w:val="nil" w:color="auto" w:fill="auto"/>
                <w:rtl w:val="0"/>
                <w:lang w:val="en-US"/>
              </w:rPr>
              <w:t>, 2016;</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[4] Astolfi L., et al., </w:t>
            </w:r>
            <w:r>
              <w:rPr>
                <w:i w:val="1"/>
                <w:iCs w:val="1"/>
                <w:shd w:val="nil" w:color="auto" w:fill="auto"/>
                <w:rtl w:val="0"/>
                <w:lang w:val="en-US"/>
              </w:rPr>
              <w:t>“</w:t>
            </w:r>
            <w:r>
              <w:rPr>
                <w:i w:val="1"/>
                <w:iCs w:val="1"/>
                <w:shd w:val="nil" w:color="auto" w:fill="auto"/>
                <w:rtl w:val="0"/>
                <w:lang w:val="en-US"/>
              </w:rPr>
              <w:t>Imaging the Social Brain by Simultaneous Hyperscanning During Subject Interaction</w:t>
            </w:r>
            <w:r>
              <w:rPr>
                <w:i w:val="1"/>
                <w:iCs w:val="1"/>
                <w:shd w:val="nil" w:color="auto" w:fill="auto"/>
                <w:rtl w:val="0"/>
                <w:lang w:val="en-US"/>
              </w:rPr>
              <w:t>”</w:t>
            </w:r>
            <w:r>
              <w:rPr>
                <w:i w:val="1"/>
                <w:iCs w:val="1"/>
                <w:shd w:val="nil" w:color="auto" w:fill="auto"/>
                <w:rtl w:val="0"/>
                <w:lang w:val="en-US"/>
              </w:rPr>
              <w:t>, 2011;</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[5] Astolfi L., et al., </w:t>
            </w:r>
            <w:r>
              <w:rPr>
                <w:i w:val="1"/>
                <w:iCs w:val="1"/>
                <w:shd w:val="nil" w:color="auto" w:fill="auto"/>
                <w:rtl w:val="0"/>
                <w:lang w:val="en-US"/>
              </w:rPr>
              <w:t>“</w:t>
            </w:r>
            <w:r>
              <w:rPr>
                <w:i w:val="1"/>
                <w:iCs w:val="1"/>
                <w:shd w:val="nil" w:color="auto" w:fill="auto"/>
                <w:rtl w:val="0"/>
                <w:lang w:val="en-US"/>
              </w:rPr>
              <w:t>Study of the Functional Hyperconnectivity between Couples of Pilots during Flight Simulation: an EEG Hyperscanning Study</w:t>
            </w:r>
            <w:r>
              <w:rPr>
                <w:i w:val="1"/>
                <w:iCs w:val="1"/>
                <w:shd w:val="nil" w:color="auto" w:fill="auto"/>
                <w:rtl w:val="0"/>
                <w:lang w:val="en-US"/>
              </w:rPr>
              <w:t>”</w:t>
            </w:r>
            <w:r>
              <w:rPr>
                <w:i w:val="1"/>
                <w:iCs w:val="1"/>
                <w:shd w:val="nil" w:color="auto" w:fill="auto"/>
                <w:rtl w:val="0"/>
                <w:lang w:val="en-US"/>
              </w:rPr>
              <w:t>, 2011;</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[6] Babiloni F., et al., </w:t>
            </w:r>
            <w:r>
              <w:rPr>
                <w:i w:val="1"/>
                <w:iCs w:val="1"/>
                <w:shd w:val="nil" w:color="auto" w:fill="auto"/>
                <w:rtl w:val="0"/>
                <w:lang w:val="en-US"/>
              </w:rPr>
              <w:t>“</w:t>
            </w:r>
            <w:r>
              <w:rPr>
                <w:i w:val="1"/>
                <w:iCs w:val="1"/>
                <w:shd w:val="nil" w:color="auto" w:fill="auto"/>
                <w:rtl w:val="0"/>
                <w:lang w:val="en-US"/>
              </w:rPr>
              <w:t>High Resolution EEG Hyperscanning During a Card Game</w:t>
            </w:r>
            <w:r>
              <w:rPr>
                <w:i w:val="1"/>
                <w:iCs w:val="1"/>
                <w:shd w:val="nil" w:color="auto" w:fill="auto"/>
                <w:rtl w:val="0"/>
                <w:lang w:val="en-US"/>
              </w:rPr>
              <w:t>”</w:t>
            </w:r>
            <w:r>
              <w:rPr>
                <w:i w:val="1"/>
                <w:iCs w:val="1"/>
                <w:shd w:val="nil" w:color="auto" w:fill="auto"/>
                <w:rtl w:val="0"/>
                <w:lang w:val="en-US"/>
              </w:rPr>
              <w:t>, 2007;</w:t>
            </w:r>
          </w:p>
          <w:p>
            <w:pPr>
              <w:pStyle w:val="Normal1"/>
              <w:widowControl w:val="0"/>
              <w:bidi w:val="0"/>
              <w:spacing w:line="240" w:lineRule="auto"/>
              <w:ind w:left="316" w:right="0" w:firstLine="0"/>
              <w:jc w:val="left"/>
              <w:rPr>
                <w:i w:val="1"/>
                <w:iCs w:val="1"/>
                <w:shd w:val="nil" w:color="auto" w:fill="auto"/>
                <w:rtl w:val="0"/>
              </w:rPr>
            </w:pPr>
            <w:r>
              <w:rPr>
                <w:i w:val="1"/>
                <w:iCs w:val="1"/>
                <w:shd w:val="nil" w:color="auto" w:fill="auto"/>
                <w:rtl w:val="0"/>
                <w:lang w:val="en-US"/>
              </w:rPr>
              <w:t xml:space="preserve">[7] Stone D., et al., </w:t>
            </w:r>
            <w:r>
              <w:rPr>
                <w:i w:val="1"/>
                <w:iCs w:val="1"/>
                <w:shd w:val="nil" w:color="auto" w:fill="auto"/>
                <w:rtl w:val="0"/>
                <w:lang w:val="en-US"/>
              </w:rPr>
              <w:t>“</w:t>
            </w:r>
            <w:r>
              <w:rPr>
                <w:i w:val="1"/>
                <w:iCs w:val="1"/>
                <w:shd w:val="nil" w:color="auto" w:fill="auto"/>
                <w:rtl w:val="0"/>
                <w:lang w:val="en-US"/>
              </w:rPr>
              <w:t>Hyperscanning of Interactive Juggling: Expertise Influence on Source Level Functional Connectivity</w:t>
            </w:r>
            <w:r>
              <w:rPr>
                <w:i w:val="1"/>
                <w:iCs w:val="1"/>
                <w:shd w:val="nil" w:color="auto" w:fill="auto"/>
                <w:rtl w:val="0"/>
                <w:lang w:val="en-US"/>
              </w:rPr>
              <w:t>”</w:t>
            </w:r>
            <w:r>
              <w:rPr>
                <w:i w:val="1"/>
                <w:iCs w:val="1"/>
                <w:shd w:val="nil" w:color="auto" w:fill="auto"/>
                <w:rtl w:val="0"/>
                <w:lang w:val="en-US"/>
              </w:rPr>
              <w:t>, 2019;</w:t>
            </w:r>
          </w:p>
          <w:p>
            <w:pPr>
              <w:pStyle w:val="Normal1"/>
              <w:widowControl w:val="0"/>
              <w:bidi w:val="0"/>
              <w:spacing w:line="240" w:lineRule="auto"/>
              <w:ind w:left="316" w:right="0" w:firstLine="0"/>
              <w:jc w:val="left"/>
              <w:rPr>
                <w:rtl w:val="0"/>
              </w:rPr>
            </w:pPr>
            <w:r>
              <w:rPr>
                <w:i w:val="1"/>
                <w:iCs w:val="1"/>
                <w:shd w:val="nil" w:color="auto" w:fill="auto"/>
                <w:rtl w:val="0"/>
                <w:lang w:val="en-US"/>
              </w:rPr>
              <w:t>[8] Sangtae A., et al., "Interbrain phase synchronization during turn</w:t>
            </w:r>
            <w:r>
              <w:rPr>
                <w:rFonts w:ascii="Arial Unicode MS" w:hAnsi="Arial Unicode MS" w:hint="default"/>
                <w:shd w:val="nil" w:color="auto" w:fill="auto"/>
                <w:rtl w:val="0"/>
                <w:lang w:val="en-US"/>
              </w:rPr>
              <w:t>‐</w:t>
            </w:r>
            <w:r>
              <w:rPr>
                <w:i w:val="1"/>
                <w:iCs w:val="1"/>
                <w:shd w:val="nil" w:color="auto" w:fill="auto"/>
                <w:rtl w:val="0"/>
                <w:lang w:val="en-US"/>
              </w:rPr>
              <w:t>taking verbal interaction</w:t>
            </w:r>
            <w:r>
              <w:rPr>
                <w:i w:val="1"/>
                <w:iCs w:val="1"/>
                <w:shd w:val="nil" w:color="auto" w:fill="auto"/>
                <w:rtl w:val="0"/>
                <w:lang w:val="en-US"/>
              </w:rPr>
              <w:t>—</w:t>
            </w:r>
            <w:r>
              <w:rPr>
                <w:i w:val="1"/>
                <w:iCs w:val="1"/>
                <w:shd w:val="nil" w:color="auto" w:fill="auto"/>
                <w:rtl w:val="0"/>
                <w:lang w:val="en-US"/>
              </w:rPr>
              <w:t>a hyperscanning study using simultaneous EEG/MEG", 2017.</w:t>
            </w:r>
          </w:p>
        </w:tc>
      </w:tr>
      <w:tr>
        <w:tblPrEx>
          <w:shd w:val="clear" w:color="auto" w:fill="ced7e7"/>
        </w:tblPrEx>
        <w:trPr>
          <w:trHeight w:val="993" w:hRule="atLeast"/>
        </w:trPr>
        <w:tc>
          <w:tcPr>
            <w:tcW w:type="dxa" w:w="24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pPr>
            <w:r>
              <w:rPr>
                <w:b w:val="1"/>
                <w:bCs w:val="1"/>
                <w:sz w:val="28"/>
                <w:szCs w:val="28"/>
                <w:shd w:val="nil" w:color="auto" w:fill="auto"/>
                <w:rtl w:val="0"/>
                <w:lang w:val="en-US"/>
              </w:rPr>
              <w:t>Grading Scheme</w:t>
            </w:r>
          </w:p>
        </w:tc>
        <w:tc>
          <w:tcPr>
            <w:tcW w:type="dxa" w:w="814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1"/>
              <w:widowControl w:val="0"/>
              <w:spacing w:line="240" w:lineRule="auto"/>
              <w:rPr>
                <w:i w:val="1"/>
                <w:iCs w:val="1"/>
                <w:shd w:val="nil" w:color="auto" w:fill="auto"/>
              </w:rPr>
            </w:pPr>
            <w:r>
              <w:rPr>
                <w:i w:val="1"/>
                <w:iCs w:val="1"/>
                <w:shd w:val="nil" w:color="auto" w:fill="auto"/>
                <w:rtl w:val="0"/>
                <w:lang w:val="en-US"/>
              </w:rPr>
              <w:t>Number of experiments implemented and conducted;</w:t>
            </w:r>
          </w:p>
          <w:p>
            <w:pPr>
              <w:pStyle w:val="Normal1"/>
              <w:widowControl w:val="0"/>
              <w:bidi w:val="0"/>
              <w:spacing w:line="240" w:lineRule="auto"/>
              <w:ind w:left="0" w:right="0" w:firstLine="0"/>
              <w:jc w:val="left"/>
              <w:rPr>
                <w:i w:val="1"/>
                <w:iCs w:val="1"/>
                <w:shd w:val="nil" w:color="auto" w:fill="auto"/>
                <w:rtl w:val="0"/>
              </w:rPr>
            </w:pPr>
            <w:r>
              <w:rPr>
                <w:i w:val="1"/>
                <w:iCs w:val="1"/>
                <w:shd w:val="nil" w:color="auto" w:fill="auto"/>
                <w:rtl w:val="0"/>
                <w:lang w:val="en-US"/>
              </w:rPr>
              <w:t>Appropriateness of the EEG preprocessing pipeline;</w:t>
            </w:r>
          </w:p>
          <w:p>
            <w:pPr>
              <w:pStyle w:val="Normal1"/>
              <w:widowControl w:val="0"/>
              <w:bidi w:val="0"/>
              <w:spacing w:line="240" w:lineRule="auto"/>
              <w:ind w:left="0" w:right="0" w:firstLine="0"/>
              <w:jc w:val="left"/>
              <w:rPr>
                <w:i w:val="1"/>
                <w:iCs w:val="1"/>
                <w:shd w:val="nil" w:color="auto" w:fill="auto"/>
                <w:rtl w:val="0"/>
              </w:rPr>
            </w:pPr>
            <w:r>
              <w:rPr>
                <w:i w:val="1"/>
                <w:iCs w:val="1"/>
                <w:shd w:val="nil" w:color="auto" w:fill="auto"/>
                <w:rtl w:val="0"/>
                <w:lang w:val="en-US"/>
              </w:rPr>
              <w:t>Quality of the statistical analysis of the features;</w:t>
            </w:r>
          </w:p>
          <w:p>
            <w:pPr>
              <w:pStyle w:val="Normal1"/>
              <w:widowControl w:val="0"/>
              <w:bidi w:val="0"/>
              <w:spacing w:line="240" w:lineRule="auto"/>
              <w:ind w:left="0" w:right="0" w:firstLine="0"/>
              <w:jc w:val="left"/>
              <w:rPr>
                <w:rtl w:val="0"/>
              </w:rPr>
            </w:pPr>
            <w:r>
              <w:rPr>
                <w:i w:val="1"/>
                <w:iCs w:val="1"/>
                <w:shd w:val="nil" w:color="auto" w:fill="auto"/>
                <w:rtl w:val="0"/>
                <w:lang w:val="en-US"/>
              </w:rPr>
              <w:t>Comprehensibility of the feature visualization.</w:t>
            </w:r>
          </w:p>
        </w:tc>
      </w:tr>
    </w:tbl>
    <w:p>
      <w:pPr>
        <w:pStyle w:val="Normal1"/>
        <w:widowControl w:val="0"/>
        <w:spacing w:line="240" w:lineRule="auto"/>
        <w:ind w:left="108" w:hanging="108"/>
        <w:rPr>
          <w:sz w:val="28"/>
          <w:szCs w:val="28"/>
        </w:rPr>
      </w:pPr>
    </w:p>
    <w:p>
      <w:pPr>
        <w:pStyle w:val="Normal1"/>
        <w:widowControl w:val="0"/>
        <w:spacing w:line="240" w:lineRule="auto"/>
        <w:rPr>
          <w:sz w:val="28"/>
          <w:szCs w:val="28"/>
        </w:rPr>
      </w:pPr>
    </w:p>
    <w:p>
      <w:pPr>
        <w:pStyle w:val="Normal1"/>
      </w:pPr>
      <w:r>
        <w:rPr>
          <w:sz w:val="28"/>
          <w:szCs w:val="28"/>
        </w:rPr>
      </w:r>
    </w:p>
    <w:sectPr>
      <w:headerReference w:type="default" r:id="rId4"/>
      <w:footerReference w:type="default" r:id="rId5"/>
      <w:pgSz w:w="12240" w:h="15840" w:orient="portrait"/>
      <w:pgMar w:top="720" w:right="720" w:bottom="1440" w:left="81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6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