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TrustSafe-RAG — Relatório de Verificação da Tarefa 1</w:t>
      </w:r>
    </w:p>
    <w:p>
      <w:r>
        <w:rPr>
          <w:b/>
        </w:rPr>
        <w:t>Objetivo</w:t>
        <w:br/>
      </w:r>
      <w:r>
        <w:t>Registrar as verificações realizadas no dataset oficial v0.2, no notebook de exploração, nos gráficos e na documentação de casos ambíguos e auditoria.</w:t>
      </w:r>
    </w:p>
    <w:p>
      <w:pPr>
        <w:pStyle w:val="Heading1"/>
      </w:pPr>
      <w:r>
        <w:t>1. Validação do dataset oficial</w:t>
      </w:r>
    </w:p>
    <w:p>
      <w:r>
        <w:t>O dataset oficial do TrustSafe-RAG v0.2 foi validado com 45 consultas, distribuídas igualmente entre as classes de risco baixo, moderado e alto, com 15 registros por classe. A verificação identificou 45 IDs únicos e nenhum valor ausente.</w:t>
      </w:r>
    </w:p>
    <w:p>
      <w:pPr>
        <w:pStyle w:val="Heading1"/>
      </w:pPr>
      <w:r>
        <w:t>2. Análise exploratória e reprodutibilidade</w:t>
      </w:r>
    </w:p>
    <w:p>
      <w:r>
        <w:t>O notebook de exploração foi executado após a reinicialização do ambiente, sem erros, conforme relatado durante a verificação. Os três arquivos de gráficos foram encontrados e não estavam vazios:</w:t>
      </w:r>
    </w:p>
    <w:p>
      <w:pPr>
        <w:pStyle w:val="ListBullet"/>
      </w:pPr>
      <w:r>
        <w:t>figures/distribuicao_classes.png — distribuição das classes de risco;</w:t>
      </w:r>
    </w:p>
    <w:p>
      <w:pPr>
        <w:pStyle w:val="ListBullet"/>
      </w:pPr>
      <w:r>
        <w:t>figures/comprimento_consultas.png — distribuição do comprimento das consultas;</w:t>
      </w:r>
    </w:p>
    <w:p>
      <w:pPr>
        <w:pStyle w:val="ListBullet"/>
      </w:pPr>
      <w:r>
        <w:t>figures/tipos_fontes_desejaveis.png — distribuição dos tipos de fontes desejáveis.</w:t>
      </w:r>
    </w:p>
    <w:p>
      <w:pPr>
        <w:pStyle w:val="Heading1"/>
      </w:pPr>
      <w:r>
        <w:t>3. Casos ambíguos</w:t>
      </w:r>
    </w:p>
    <w:p>
      <w:r>
        <w:t>Foram conferidos no documento docs/casos_ambiguos_v02.md os cinco identificadores previstos: Q016, Q018, Q019, Q022 e Q028.</w:t>
      </w:r>
    </w:p>
    <w:p>
      <w:pPr>
        <w:pStyle w:val="Heading1"/>
      </w:pPr>
      <w:r>
        <w:t>4. Verificação da auditoria</w:t>
      </w:r>
    </w:p>
    <w:p>
      <w:r>
        <w:t>O arquivo docs/auditoria_escopo_v02.csv contém 45 registros e seis colunas. Foram observados 45 IDs originais únicos, 45 IDs correspondentes únicos, nenhum valor ausente e nenhuma duplicação de ID original. Os conjuntos de IDs correspondentes e do dataset oficial coincidem.</w:t>
      </w:r>
    </w:p>
    <w:p>
      <w:r>
        <w:t>Distribuição das decisões registradas:</w:t>
      </w:r>
    </w:p>
    <w:p>
      <w:pPr>
        <w:pStyle w:val="ListBullet"/>
      </w:pPr>
      <w:r>
        <w:t>41 decisões “substituir”;</w:t>
      </w:r>
    </w:p>
    <w:p>
      <w:pPr>
        <w:pStyle w:val="ListBullet"/>
      </w:pPr>
      <w:r>
        <w:t>3 decisões “manter”;</w:t>
      </w:r>
    </w:p>
    <w:p>
      <w:pPr>
        <w:pStyle w:val="ListBullet"/>
      </w:pPr>
      <w:r>
        <w:t>1 decisão “reformular”.</w:t>
      </w:r>
    </w:p>
    <w:p>
      <w:r>
        <w:t>Todas as 41 substituições possuem justificativas preenchidas, e as decisões encontradas pertencem às categorias previstas: manter, reformular e substituir. A conferência estrutural também identificou dois registros (Q025 e Q030) classificados como “substituir” apesar de pertencerem à saúde mental. As justificativas indicam mudança de tema entre as consultas originais e as novas; a adequação semântica dessas decisões ainda deve ser confirmada na revisão de conteúdo.</w:t>
      </w:r>
    </w:p>
    <w:p>
      <w:pPr>
        <w:pStyle w:val="Heading1"/>
      </w:pPr>
      <w:r>
        <w:t>5. Documentação</w:t>
      </w:r>
    </w:p>
    <w:p>
      <w:r>
        <w:t>O README.md foi revisado para descrever a estrutura do projeto, as validações e os gráficos. Também foi esclarecido que o notebook gerador v0.2 carrega e valida o CSV existente, mas não gera novas consultas automaticamente.</w:t>
      </w:r>
    </w:p>
    <w:p>
      <w:pPr>
        <w:pStyle w:val="Heading1"/>
      </w:pPr>
      <w:r>
        <w:t>6. Limitações e conclusão</w:t>
      </w:r>
    </w:p>
    <w:p>
      <w:r>
        <w:t>As verificações realizadas demonstram consistência estrutural e fornecem evidências de reprodutibilidade da análise exploratória. Entretanto, não comprovam a correção semântica de todas as decisões de auditoria, a precisão clínica das classificações ou a eficácia de um sistema RAG. As consultas e classificações são sintéticas/provisórias e permanecem sujeitas à revisão humana; não devem ser usadas isoladamente para diagnóstico ou decisões clínicas.</w:t>
      </w:r>
    </w:p>
    <w:p>
      <w:r>
        <w:t>Antes de declarar a Tarefa 1 totalmente encerrada, recomenda-se revisar semanticamente as decisões e justificativas da auditoria e confirmar todos os requisitos do enunciado.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