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2"/>
        <w:keepNext w:val="0"/>
        <w:keepLines w:val="0"/>
        <w:spacing w:after="80" w:lineRule="auto"/>
        <w:rPr>
          <w:rFonts w:ascii="Roboto" w:cs="Roboto" w:eastAsia="Roboto" w:hAnsi="Roboto"/>
          <w:b w:val="1"/>
          <w:bCs w:val="1"/>
          <w:sz w:val="34"/>
          <w:szCs w:val="34"/>
        </w:rPr>
      </w:pPr>
      <w:bookmarkStart w:colFirst="0" w:colLast="0" w:name="_5gbfrvv6jad7" w:id="0"/>
      <w:bookmarkEnd w:id="0"/>
      <w:r w:rsidDel="00000000" w:rsidR="00000000" w:rsidRPr="00000000">
        <w:rPr>
          <w:rFonts w:ascii="Roboto" w:cs="Roboto" w:eastAsia="Roboto" w:hAnsi="Roboto"/>
          <w:b w:val="1"/>
          <w:bCs w:val="1"/>
          <w:sz w:val="34"/>
          <w:szCs w:val="34"/>
          <w:rtl w:val="0"/>
        </w:rPr>
        <w:t xml:space="preserve">1. Presentación y misión de la fundación</w:t>
      </w:r>
    </w:p>
    <w:p w:rsidR="00000000" w:rsidDel="00000000" w:rsidP="00000000" w:rsidRDefault="00000000" w:rsidRPr="00000000" w14:paraId="00000002">
      <w:pPr>
        <w:spacing w:after="120" w:before="120" w:lineRule="auto"/>
        <w:rPr>
          <w:rFonts w:ascii="Roboto" w:cs="Roboto" w:eastAsia="Roboto" w:hAnsi="Roboto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sz w:val="24"/>
          <w:szCs w:val="24"/>
          <w:rtl w:val="0"/>
        </w:rPr>
        <w:t xml:space="preserve">Damos la bienvenida presentando el trabajo de nuestra fundación, orientada a garantizar el acceso a una educación de calidad para personas de bajos recursos, como herramienta fundamental de inserción y transformación social.​</w:t>
      </w:r>
    </w:p>
    <w:p w:rsidR="00000000" w:rsidDel="00000000" w:rsidP="00000000" w:rsidRDefault="00000000" w:rsidRPr="00000000" w14:paraId="00000003">
      <w:pPr>
        <w:spacing w:after="120" w:before="240" w:lineRule="auto"/>
        <w:rPr>
          <w:rFonts w:ascii="Roboto" w:cs="Roboto" w:eastAsia="Roboto" w:hAnsi="Roboto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sz w:val="24"/>
          <w:szCs w:val="24"/>
          <w:rtl w:val="0"/>
        </w:rPr>
        <w:t xml:space="preserve">El foco del análisis será presentar cómo la educación, por sus efectos acumulativos y sociales, incide transversalmente en el rendimiento académico, la prevención de la criminalidad y el desarrollo económico.</w:t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pStyle w:val="Heading2"/>
        <w:keepNext w:val="0"/>
        <w:keepLines w:val="0"/>
        <w:spacing w:after="80" w:lineRule="auto"/>
        <w:rPr>
          <w:rFonts w:ascii="Roboto" w:cs="Roboto" w:eastAsia="Roboto" w:hAnsi="Roboto"/>
          <w:b w:val="1"/>
          <w:bCs w:val="1"/>
          <w:sz w:val="34"/>
          <w:szCs w:val="34"/>
        </w:rPr>
      </w:pPr>
      <w:bookmarkStart w:colFirst="0" w:colLast="0" w:name="_k988yr2bala0" w:id="1"/>
      <w:bookmarkEnd w:id="1"/>
      <w:r w:rsidDel="00000000" w:rsidR="00000000" w:rsidRPr="00000000">
        <w:rPr>
          <w:rFonts w:ascii="Roboto" w:cs="Roboto" w:eastAsia="Roboto" w:hAnsi="Roboto"/>
          <w:b w:val="1"/>
          <w:bCs w:val="1"/>
          <w:sz w:val="34"/>
          <w:szCs w:val="34"/>
          <w:rtl w:val="0"/>
        </w:rPr>
        <w:t xml:space="preserve">2. Rendimiento académico, evolución y desigualdad</w:t>
      </w:r>
    </w:p>
    <w:p w:rsidR="00000000" w:rsidDel="00000000" w:rsidP="00000000" w:rsidRDefault="00000000" w:rsidRPr="00000000" w14:paraId="00000006">
      <w:pPr>
        <w:spacing w:after="120" w:before="120" w:lineRule="auto"/>
        <w:rPr>
          <w:rFonts w:ascii="Roboto" w:cs="Roboto" w:eastAsia="Roboto" w:hAnsi="Roboto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sz w:val="24"/>
          <w:szCs w:val="24"/>
          <w:rtl w:val="0"/>
        </w:rPr>
        <w:t xml:space="preserve">Partimos del análisis del rendimiento académico de estudiantes de la ESO en España en 2010 usando un dataset del Instituto Nacional de Estadística. </w:t>
      </w:r>
    </w:p>
    <w:p w:rsidR="00000000" w:rsidDel="00000000" w:rsidP="00000000" w:rsidRDefault="00000000" w:rsidRPr="00000000" w14:paraId="00000007">
      <w:pPr>
        <w:spacing w:after="120" w:before="120" w:lineRule="auto"/>
        <w:rPr>
          <w:rFonts w:ascii="Roboto" w:cs="Roboto" w:eastAsia="Roboto" w:hAnsi="Roboto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sz w:val="24"/>
          <w:szCs w:val="24"/>
          <w:rtl w:val="0"/>
        </w:rPr>
        <w:t xml:space="preserve">Hacemos una presentación de los datos generales obtenidos de la muestra y explicación de la muestra. </w:t>
      </w:r>
    </w:p>
    <w:p w:rsidR="00000000" w:rsidDel="00000000" w:rsidP="00000000" w:rsidRDefault="00000000" w:rsidRPr="00000000" w14:paraId="00000008">
      <w:pPr>
        <w:spacing w:after="120" w:before="120" w:lineRule="auto"/>
        <w:rPr>
          <w:rFonts w:ascii="Roboto" w:cs="Roboto" w:eastAsia="Roboto" w:hAnsi="Roboto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sz w:val="24"/>
          <w:szCs w:val="24"/>
          <w:rtl w:val="0"/>
        </w:rPr>
        <w:t xml:space="preserve">A continuación, hacemos una comparativa entre los resultados de 2005 y los de 2010 -&gt; mención a la crisis de 2008 y su posible influencia. </w:t>
      </w:r>
    </w:p>
    <w:p w:rsidR="00000000" w:rsidDel="00000000" w:rsidP="00000000" w:rsidRDefault="00000000" w:rsidRPr="00000000" w14:paraId="00000009">
      <w:pPr>
        <w:spacing w:after="120" w:before="120" w:lineRule="auto"/>
        <w:rPr>
          <w:rFonts w:ascii="Roboto" w:cs="Roboto" w:eastAsia="Roboto" w:hAnsi="Roboto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sz w:val="24"/>
          <w:szCs w:val="24"/>
          <w:rtl w:val="0"/>
        </w:rPr>
        <w:t xml:space="preserve">A partir de este eje central, mostramos cómo factores como las horas de estudio, la asistencia, el acceso a recursos, la implicación parental, la educación de los padres y los ingresos familiares se relacionan estrechamente con las diferencias de resultados, evidenciando una clara desigualdad social.​</w:t>
      </w:r>
    </w:p>
    <w:p w:rsidR="00000000" w:rsidDel="00000000" w:rsidP="00000000" w:rsidRDefault="00000000" w:rsidRPr="00000000" w14:paraId="0000000A">
      <w:pPr>
        <w:spacing w:after="120" w:before="240" w:lineRule="auto"/>
        <w:rPr>
          <w:rFonts w:ascii="Roboto" w:cs="Roboto" w:eastAsia="Roboto" w:hAnsi="Roboto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sz w:val="24"/>
          <w:szCs w:val="24"/>
          <w:rtl w:val="0"/>
        </w:rPr>
        <w:t xml:space="preserve">También sacamos a la luz cómo el peso de la educación de los padres y el contexto socioeconómico continúa siendo un condicionante clave en el rendimiento escolar. Las trayectorias educativas, lejos de ser individuales, responden en buena medida al entorno familiar y social.</w:t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pStyle w:val="Heading2"/>
        <w:keepNext w:val="0"/>
        <w:keepLines w:val="0"/>
        <w:spacing w:after="80" w:lineRule="auto"/>
        <w:rPr>
          <w:rFonts w:ascii="Roboto" w:cs="Roboto" w:eastAsia="Roboto" w:hAnsi="Roboto"/>
          <w:b w:val="1"/>
          <w:bCs w:val="1"/>
          <w:sz w:val="34"/>
          <w:szCs w:val="34"/>
        </w:rPr>
      </w:pPr>
      <w:bookmarkStart w:colFirst="0" w:colLast="0" w:name="_sdnddkg1e777" w:id="2"/>
      <w:bookmarkEnd w:id="2"/>
      <w:r w:rsidDel="00000000" w:rsidR="00000000" w:rsidRPr="00000000">
        <w:rPr>
          <w:rFonts w:ascii="Roboto" w:cs="Roboto" w:eastAsia="Roboto" w:hAnsi="Roboto"/>
          <w:b w:val="1"/>
          <w:bCs w:val="1"/>
          <w:sz w:val="34"/>
          <w:szCs w:val="34"/>
          <w:rtl w:val="0"/>
        </w:rPr>
        <w:t xml:space="preserve">3. El capital educativo y las consecuencias a largo plazo</w:t>
      </w:r>
    </w:p>
    <w:p w:rsidR="00000000" w:rsidDel="00000000" w:rsidP="00000000" w:rsidRDefault="00000000" w:rsidRPr="00000000" w14:paraId="0000000D">
      <w:pPr>
        <w:spacing w:after="120" w:before="120" w:lineRule="auto"/>
        <w:rPr>
          <w:rFonts w:ascii="Roboto" w:cs="Roboto" w:eastAsia="Roboto" w:hAnsi="Roboto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sz w:val="24"/>
          <w:szCs w:val="24"/>
          <w:rtl w:val="0"/>
        </w:rPr>
        <w:t xml:space="preserve">El nivel educativo parental y el entorno familiar no solo determinan el éxito escolar inmediato, sino que proyectan sus efectos a lo largo de la vida. España muestra que quienes nacen en familias con poca educación y bajos ingresos enfrentan más barreras y menos oportunidades de desarrollar su potencial académico.​</w:t>
      </w:r>
    </w:p>
    <w:p w:rsidR="00000000" w:rsidDel="00000000" w:rsidP="00000000" w:rsidRDefault="00000000" w:rsidRPr="00000000" w14:paraId="0000000E">
      <w:pPr>
        <w:spacing w:after="120" w:before="240" w:lineRule="auto"/>
        <w:rPr>
          <w:rFonts w:ascii="Roboto" w:cs="Roboto" w:eastAsia="Roboto" w:hAnsi="Roboto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sz w:val="24"/>
          <w:szCs w:val="24"/>
          <w:rtl w:val="0"/>
        </w:rPr>
        <w:t xml:space="preserve">AQUÍ ENTRA EL DASHBOARD INTERNACIONAL -&gt; Ampliando la perspectiva a nivel internacional, vemos que los países con mayores tasas de alfabetización y formación presentan mejores indicadores sociales y económicos, como menor desempleo y mayor PIB per cápita.​</w:t>
        <w:br w:type="textWrapping"/>
        <w:t xml:space="preserve">VUELTA AL DASHBOARD INEE -&gt; La inversión en educación no solo beneficia al alumno, sino a toda la sociedad, y es fundamento de economías más resilientes y equitativas.</w:t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pStyle w:val="Heading2"/>
        <w:keepNext w:val="0"/>
        <w:keepLines w:val="0"/>
        <w:spacing w:after="80" w:lineRule="auto"/>
        <w:rPr>
          <w:rFonts w:ascii="Roboto" w:cs="Roboto" w:eastAsia="Roboto" w:hAnsi="Roboto"/>
          <w:b w:val="1"/>
          <w:bCs w:val="1"/>
          <w:sz w:val="34"/>
          <w:szCs w:val="34"/>
        </w:rPr>
      </w:pPr>
      <w:bookmarkStart w:colFirst="0" w:colLast="0" w:name="_k8jnyw247a2b" w:id="3"/>
      <w:bookmarkEnd w:id="3"/>
      <w:r w:rsidDel="00000000" w:rsidR="00000000" w:rsidRPr="00000000">
        <w:rPr>
          <w:rFonts w:ascii="Roboto" w:cs="Roboto" w:eastAsia="Roboto" w:hAnsi="Roboto"/>
          <w:b w:val="1"/>
          <w:bCs w:val="1"/>
          <w:sz w:val="34"/>
          <w:szCs w:val="34"/>
          <w:rtl w:val="0"/>
        </w:rPr>
        <w:t xml:space="preserve">4. Exclusión y riesgo social: el efecto de la educación en la criminalidad</w:t>
      </w:r>
    </w:p>
    <w:p w:rsidR="00000000" w:rsidDel="00000000" w:rsidP="00000000" w:rsidRDefault="00000000" w:rsidRPr="00000000" w14:paraId="00000011">
      <w:pPr>
        <w:spacing w:after="120" w:before="120" w:lineRule="auto"/>
        <w:rPr>
          <w:rFonts w:ascii="Roboto" w:cs="Roboto" w:eastAsia="Roboto" w:hAnsi="Roboto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sz w:val="24"/>
          <w:szCs w:val="24"/>
          <w:rtl w:val="0"/>
        </w:rPr>
        <w:t xml:space="preserve">El análisis de datos penitenciarios en USA muestra que los delitos menores—precisamente aquellos que suelen tener mayor vinculación con situaciones de exclusión y pobreza—son mucho más frecuentes entre quienes presentan niveles educativos bajos.​</w:t>
      </w:r>
    </w:p>
    <w:p w:rsidR="00000000" w:rsidDel="00000000" w:rsidP="00000000" w:rsidRDefault="00000000" w:rsidRPr="00000000" w14:paraId="00000012">
      <w:pPr>
        <w:spacing w:after="120" w:before="240" w:lineRule="auto"/>
        <w:rPr>
          <w:rFonts w:ascii="Roboto" w:cs="Roboto" w:eastAsia="Roboto" w:hAnsi="Roboto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sz w:val="24"/>
          <w:szCs w:val="24"/>
          <w:rtl w:val="0"/>
        </w:rPr>
        <w:t xml:space="preserve">Este fenómeno ilustra de forma contundente que la falta de formación y oportunidades no solo limita el desarrollo profesional, sino que eleva el riesgo de caer en la marginalidad y la criminalidad menor. La educación es un mecanismo de prevención social: sus efectos se ven no solo en las aulas, sino también en las trayectorias vitales y comunitarias.</w:t>
      </w:r>
    </w:p>
    <w:p w:rsidR="00000000" w:rsidDel="00000000" w:rsidP="00000000" w:rsidRDefault="00000000" w:rsidRPr="00000000" w14:paraId="00000013">
      <w:pPr>
        <w:spacing w:after="120" w:before="240" w:lineRule="auto"/>
        <w:rPr>
          <w:rFonts w:ascii="Roboto" w:cs="Roboto" w:eastAsia="Roboto" w:hAnsi="Roboto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sz w:val="24"/>
          <w:szCs w:val="24"/>
          <w:rtl w:val="0"/>
        </w:rPr>
        <w:t xml:space="preserve">La heterogeneidad educativa en los delitos graves revela que, si bien la educación no puede explicar todos los factores, sí es una variable clave y preventiva en los delitos evitables, aquellos ligados a la falta de opciones.</w:t>
      </w:r>
    </w:p>
    <w:p w:rsidR="00000000" w:rsidDel="00000000" w:rsidP="00000000" w:rsidRDefault="00000000" w:rsidRPr="00000000" w14:paraId="00000014">
      <w:pPr>
        <w:spacing w:after="120" w:before="240" w:lineRule="auto"/>
        <w:rPr>
          <w:rFonts w:ascii="Roboto" w:cs="Roboto" w:eastAsia="Roboto" w:hAnsi="Roboto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sz w:val="24"/>
          <w:szCs w:val="24"/>
          <w:rtl w:val="0"/>
        </w:rPr>
        <w:t xml:space="preserve">Además, podemos ver que los delitos menos graves son los que mayor duración de la sentencia tienen -&gt; garantizar un mayor nivel educativo protege a los individuos del propio sistema.</w:t>
      </w:r>
    </w:p>
    <w:p w:rsidR="00000000" w:rsidDel="00000000" w:rsidP="00000000" w:rsidRDefault="00000000" w:rsidRPr="00000000" w14:paraId="00000015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pStyle w:val="Heading2"/>
        <w:keepNext w:val="0"/>
        <w:keepLines w:val="0"/>
        <w:spacing w:after="80" w:lineRule="auto"/>
        <w:rPr>
          <w:rFonts w:ascii="Roboto" w:cs="Roboto" w:eastAsia="Roboto" w:hAnsi="Roboto"/>
          <w:b w:val="1"/>
          <w:bCs w:val="1"/>
          <w:sz w:val="34"/>
          <w:szCs w:val="34"/>
        </w:rPr>
      </w:pPr>
      <w:bookmarkStart w:colFirst="0" w:colLast="0" w:name="_ayt42v81rndx" w:id="4"/>
      <w:bookmarkEnd w:id="4"/>
      <w:r w:rsidDel="00000000" w:rsidR="00000000" w:rsidRPr="00000000">
        <w:rPr>
          <w:rFonts w:ascii="Roboto" w:cs="Roboto" w:eastAsia="Roboto" w:hAnsi="Roboto"/>
          <w:b w:val="1"/>
          <w:bCs w:val="1"/>
          <w:sz w:val="34"/>
          <w:szCs w:val="34"/>
          <w:rtl w:val="0"/>
        </w:rPr>
        <w:t xml:space="preserve">5. Educación como eslabón central de la justicia social</w:t>
      </w:r>
    </w:p>
    <w:p w:rsidR="00000000" w:rsidDel="00000000" w:rsidP="00000000" w:rsidRDefault="00000000" w:rsidRPr="00000000" w14:paraId="00000017">
      <w:pPr>
        <w:spacing w:after="120" w:before="120" w:lineRule="auto"/>
        <w:rPr>
          <w:rFonts w:ascii="Roboto" w:cs="Roboto" w:eastAsia="Roboto" w:hAnsi="Roboto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sz w:val="24"/>
          <w:szCs w:val="24"/>
          <w:rtl w:val="0"/>
        </w:rPr>
        <w:t xml:space="preserve">Entrelazando los tres enfoques—rendir académico/evolución, exclusión criminal y desarrollo económico—quedamos ante una evidencia poderosa:</w:t>
      </w:r>
    </w:p>
    <w:p w:rsidR="00000000" w:rsidDel="00000000" w:rsidP="00000000" w:rsidRDefault="00000000" w:rsidRPr="00000000" w14:paraId="00000018">
      <w:pPr>
        <w:numPr>
          <w:ilvl w:val="0"/>
          <w:numId w:val="1"/>
        </w:numPr>
        <w:pBdr>
          <w:top w:color="auto" w:space="0" w:sz="0" w:val="none"/>
          <w:bottom w:color="auto" w:space="0" w:sz="0" w:val="none"/>
          <w:between w:color="auto" w:space="0" w:sz="0" w:val="none"/>
        </w:pBdr>
        <w:ind w:left="720" w:hanging="360"/>
      </w:pPr>
      <w:r w:rsidDel="00000000" w:rsidR="00000000" w:rsidRPr="00000000">
        <w:rPr>
          <w:rFonts w:ascii="Roboto" w:cs="Roboto" w:eastAsia="Roboto" w:hAnsi="Roboto"/>
          <w:sz w:val="24"/>
          <w:szCs w:val="24"/>
          <w:rtl w:val="0"/>
        </w:rPr>
        <w:t xml:space="preserve">En España, la brecha educativa está marcada por el entorno familiar y de clase social, y la evolución temporal muestra que los avances requieren políticas sostenidas y específicas para los grupos más vulnerables.​</w:t>
      </w:r>
    </w:p>
    <w:p w:rsidR="00000000" w:rsidDel="00000000" w:rsidP="00000000" w:rsidRDefault="00000000" w:rsidRPr="00000000" w14:paraId="00000019">
      <w:pPr>
        <w:numPr>
          <w:ilvl w:val="0"/>
          <w:numId w:val="1"/>
        </w:numPr>
        <w:pBdr>
          <w:top w:color="auto" w:space="0" w:sz="0" w:val="none"/>
          <w:bottom w:color="auto" w:space="0" w:sz="0" w:val="none"/>
          <w:between w:color="auto" w:space="0" w:sz="0" w:val="none"/>
        </w:pBdr>
        <w:ind w:left="720" w:hanging="360"/>
      </w:pPr>
      <w:r w:rsidDel="00000000" w:rsidR="00000000" w:rsidRPr="00000000">
        <w:rPr>
          <w:rFonts w:ascii="Roboto" w:cs="Roboto" w:eastAsia="Roboto" w:hAnsi="Roboto"/>
          <w:sz w:val="24"/>
          <w:szCs w:val="24"/>
          <w:rtl w:val="0"/>
        </w:rPr>
        <w:t xml:space="preserve">A nivel global, la educación es el motor de las dinámicas económicas y sociales: donde hay mejor formación, hay más empleo y riqueza colectiva; donde falta, la brecha se amplía.​</w:t>
      </w:r>
    </w:p>
    <w:p w:rsidR="00000000" w:rsidDel="00000000" w:rsidP="00000000" w:rsidRDefault="00000000" w:rsidRPr="00000000" w14:paraId="0000001A">
      <w:pPr>
        <w:numPr>
          <w:ilvl w:val="0"/>
          <w:numId w:val="1"/>
        </w:numPr>
        <w:pBdr>
          <w:top w:color="auto" w:space="0" w:sz="0" w:val="none"/>
          <w:bottom w:color="auto" w:space="0" w:sz="0" w:val="none"/>
          <w:between w:color="auto" w:space="0" w:sz="0" w:val="none"/>
        </w:pBdr>
        <w:ind w:left="720" w:hanging="360"/>
      </w:pPr>
      <w:r w:rsidDel="00000000" w:rsidR="00000000" w:rsidRPr="00000000">
        <w:rPr>
          <w:rFonts w:ascii="Roboto" w:cs="Roboto" w:eastAsia="Roboto" w:hAnsi="Roboto"/>
          <w:sz w:val="24"/>
          <w:szCs w:val="24"/>
          <w:rtl w:val="0"/>
        </w:rPr>
        <w:t xml:space="preserve">Cuando la educación fracasa, el riesgo de exclusión y delincuencia aumenta, especialmente en los estratos de menores recursos.​</w:t>
      </w:r>
    </w:p>
    <w:p w:rsidR="00000000" w:rsidDel="00000000" w:rsidP="00000000" w:rsidRDefault="00000000" w:rsidRPr="00000000" w14:paraId="0000001B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pStyle w:val="Heading2"/>
        <w:keepNext w:val="0"/>
        <w:keepLines w:val="0"/>
        <w:spacing w:after="80" w:lineRule="auto"/>
        <w:rPr>
          <w:rFonts w:ascii="Roboto" w:cs="Roboto" w:eastAsia="Roboto" w:hAnsi="Roboto"/>
          <w:b w:val="1"/>
          <w:bCs w:val="1"/>
          <w:sz w:val="34"/>
          <w:szCs w:val="34"/>
        </w:rPr>
      </w:pPr>
      <w:bookmarkStart w:colFirst="0" w:colLast="0" w:name="_p9spi4li1g8v" w:id="5"/>
      <w:bookmarkEnd w:id="5"/>
      <w:r w:rsidDel="00000000" w:rsidR="00000000" w:rsidRPr="00000000">
        <w:rPr>
          <w:rFonts w:ascii="Roboto" w:cs="Roboto" w:eastAsia="Roboto" w:hAnsi="Roboto"/>
          <w:b w:val="1"/>
          <w:bCs w:val="1"/>
          <w:sz w:val="34"/>
          <w:szCs w:val="34"/>
          <w:rtl w:val="0"/>
        </w:rPr>
        <w:t xml:space="preserve">6. Cierre y llamada a la acción</w:t>
      </w:r>
    </w:p>
    <w:p w:rsidR="00000000" w:rsidDel="00000000" w:rsidP="00000000" w:rsidRDefault="00000000" w:rsidRPr="00000000" w14:paraId="0000001D">
      <w:pPr>
        <w:spacing w:after="120" w:before="120" w:lineRule="auto"/>
        <w:rPr>
          <w:rFonts w:ascii="Roboto" w:cs="Roboto" w:eastAsia="Roboto" w:hAnsi="Roboto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sz w:val="24"/>
          <w:szCs w:val="24"/>
          <w:rtl w:val="0"/>
        </w:rPr>
        <w:t xml:space="preserve">La conclusión es clara y respaldada por datos:</w:t>
        <w:br w:type="textWrapping"/>
        <w:t xml:space="preserve">La educación </w:t>
      </w:r>
      <w:r w:rsidDel="00000000" w:rsidR="00000000" w:rsidRPr="00000000">
        <w:rPr>
          <w:rFonts w:ascii="Roboto" w:cs="Roboto" w:eastAsia="Roboto" w:hAnsi="Roboto"/>
          <w:sz w:val="24"/>
          <w:szCs w:val="24"/>
          <w:rtl w:val="0"/>
        </w:rPr>
        <w:t xml:space="preserve">solo</w:t>
      </w:r>
      <w:r w:rsidDel="00000000" w:rsidR="00000000" w:rsidRPr="00000000">
        <w:rPr>
          <w:rFonts w:ascii="Roboto" w:cs="Roboto" w:eastAsia="Roboto" w:hAnsi="Roboto"/>
          <w:sz w:val="24"/>
          <w:szCs w:val="24"/>
          <w:rtl w:val="0"/>
        </w:rPr>
        <w:t xml:space="preserve"> tendrá sentido como herramienta de justicia social si rompe los condicionantes de clase y permite el acceso real y universal a la formación y al conocimiento.</w:t>
        <w:br w:type="textWrapping"/>
        <w:t xml:space="preserve">No debería tolerarse un sistema donde el éxito o el fracaso educativo dependa del origen familiar; la función pública de la escuela ha de ser garantizar igualdad material de oportunidades y una ciudadanía plena, no amoldar a las personas a jerarquías preexistentes.</w:t>
      </w:r>
    </w:p>
    <w:p w:rsidR="00000000" w:rsidDel="00000000" w:rsidP="00000000" w:rsidRDefault="00000000" w:rsidRPr="00000000" w14:paraId="0000001E">
      <w:pPr>
        <w:spacing w:after="120" w:before="240" w:lineRule="auto"/>
        <w:rPr>
          <w:rFonts w:ascii="Roboto" w:cs="Roboto" w:eastAsia="Roboto" w:hAnsi="Roboto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sz w:val="24"/>
          <w:szCs w:val="24"/>
          <w:rtl w:val="0"/>
        </w:rPr>
        <w:t xml:space="preserve">El reto colectivo es transformar los mecanismos que perpetúan la desigualdad, poner la educación pública y los recursos pedagógicos al servicio de la emancipación social, la cooperación y la distribución equitativa de todas las capacidades.</w:t>
        <w:br w:type="textWrapping"/>
        <w:t xml:space="preserve">Como fundación, nos comprometemos a trabajar para que la educación deje de ser un simple ascensor individual y se consolide como un derecho y un bien común, vertebrando comunidades capaces de decidir sobre su destino con autonomía y justicia.</w:t>
      </w:r>
    </w:p>
    <w:p w:rsidR="00000000" w:rsidDel="00000000" w:rsidP="00000000" w:rsidRDefault="00000000" w:rsidRPr="00000000" w14:paraId="0000001F">
      <w:pPr>
        <w:spacing w:after="120" w:before="240" w:lineRule="auto"/>
        <w:rPr>
          <w:rFonts w:ascii="Roboto" w:cs="Roboto" w:eastAsia="Roboto" w:hAnsi="Roboto"/>
          <w:b w:val="1"/>
          <w:bCs w:val="1"/>
          <w:sz w:val="34"/>
          <w:szCs w:val="34"/>
        </w:rPr>
      </w:pPr>
      <w:r w:rsidDel="00000000" w:rsidR="00000000" w:rsidRPr="00000000">
        <w:rPr>
          <w:rFonts w:ascii="Roboto" w:cs="Roboto" w:eastAsia="Roboto" w:hAnsi="Roboto"/>
          <w:b w:val="1"/>
          <w:bCs w:val="1"/>
          <w:sz w:val="34"/>
          <w:szCs w:val="34"/>
          <w:rtl w:val="0"/>
        </w:rPr>
        <w:t xml:space="preserve">7. Futuros pasos de la fundación: más datos, más investigación</w:t>
      </w:r>
    </w:p>
    <w:p w:rsidR="00000000" w:rsidDel="00000000" w:rsidP="00000000" w:rsidRDefault="00000000" w:rsidRPr="00000000" w14:paraId="00000020">
      <w:pPr>
        <w:numPr>
          <w:ilvl w:val="0"/>
          <w:numId w:val="2"/>
        </w:numPr>
        <w:spacing w:after="0" w:afterAutospacing="0" w:before="240" w:lineRule="auto"/>
        <w:ind w:left="720" w:hanging="360"/>
        <w:rPr>
          <w:rFonts w:ascii="Roboto" w:cs="Roboto" w:eastAsia="Roboto" w:hAnsi="Roboto"/>
          <w:sz w:val="24"/>
          <w:szCs w:val="24"/>
          <w:u w:val="none"/>
        </w:rPr>
      </w:pPr>
      <w:r w:rsidDel="00000000" w:rsidR="00000000" w:rsidRPr="00000000">
        <w:rPr>
          <w:rFonts w:ascii="Roboto" w:cs="Roboto" w:eastAsia="Roboto" w:hAnsi="Roboto"/>
          <w:sz w:val="24"/>
          <w:szCs w:val="24"/>
          <w:rtl w:val="0"/>
        </w:rPr>
        <w:t xml:space="preserve">Ampliar la información sobre el desempeño y los condicionantes para el año 2005, para poder establecer de forma sólida (o descartar) la correlación entre la crisis de 2008 y el deterioro en los resultados.</w:t>
      </w:r>
    </w:p>
    <w:p w:rsidR="00000000" w:rsidDel="00000000" w:rsidP="00000000" w:rsidRDefault="00000000" w:rsidRPr="00000000" w14:paraId="00000021">
      <w:pPr>
        <w:numPr>
          <w:ilvl w:val="0"/>
          <w:numId w:val="2"/>
        </w:numPr>
        <w:spacing w:after="0" w:afterAutospacing="0" w:before="0" w:beforeAutospacing="0" w:lineRule="auto"/>
        <w:ind w:left="720" w:hanging="360"/>
        <w:rPr>
          <w:rFonts w:ascii="Roboto" w:cs="Roboto" w:eastAsia="Roboto" w:hAnsi="Roboto"/>
          <w:sz w:val="24"/>
          <w:szCs w:val="24"/>
          <w:u w:val="none"/>
        </w:rPr>
      </w:pPr>
      <w:r w:rsidDel="00000000" w:rsidR="00000000" w:rsidRPr="00000000">
        <w:rPr>
          <w:rFonts w:ascii="Roboto" w:cs="Roboto" w:eastAsia="Roboto" w:hAnsi="Roboto"/>
          <w:sz w:val="24"/>
          <w:szCs w:val="24"/>
          <w:rtl w:val="0"/>
        </w:rPr>
        <w:t xml:space="preserve">Buscar la colaboración con el Estado español para conseguir datos sobre criminalidad en el territorio.</w:t>
      </w:r>
    </w:p>
    <w:p w:rsidR="00000000" w:rsidDel="00000000" w:rsidP="00000000" w:rsidRDefault="00000000" w:rsidRPr="00000000" w14:paraId="00000022">
      <w:pPr>
        <w:numPr>
          <w:ilvl w:val="0"/>
          <w:numId w:val="2"/>
        </w:numPr>
        <w:spacing w:after="120" w:before="0" w:beforeAutospacing="0" w:lineRule="auto"/>
        <w:ind w:left="720" w:hanging="360"/>
        <w:rPr>
          <w:rFonts w:ascii="Roboto" w:cs="Roboto" w:eastAsia="Roboto" w:hAnsi="Roboto"/>
          <w:sz w:val="24"/>
          <w:szCs w:val="24"/>
          <w:u w:val="none"/>
        </w:rPr>
      </w:pPr>
      <w:r w:rsidDel="00000000" w:rsidR="00000000" w:rsidRPr="00000000">
        <w:rPr>
          <w:rFonts w:ascii="Roboto" w:cs="Roboto" w:eastAsia="Roboto" w:hAnsi="Roboto"/>
          <w:sz w:val="24"/>
          <w:szCs w:val="24"/>
          <w:rtl w:val="0"/>
        </w:rPr>
        <w:t xml:space="preserve">Proponer una colaboración a los órganos estatales pertinentes para la estandarización de los datos de carácter</w:t>
      </w:r>
      <w:r w:rsidDel="00000000" w:rsidR="00000000" w:rsidRPr="00000000">
        <w:rPr>
          <w:rFonts w:ascii="Roboto" w:cs="Roboto" w:eastAsia="Roboto" w:hAnsi="Roboto"/>
          <w:b w:val="1"/>
          <w:bCs w:val="1"/>
          <w:sz w:val="24"/>
          <w:szCs w:val="24"/>
          <w:rtl w:val="0"/>
        </w:rPr>
        <w:t xml:space="preserve"> público</w:t>
      </w:r>
      <w:r w:rsidDel="00000000" w:rsidR="00000000" w:rsidRPr="00000000">
        <w:rPr>
          <w:rFonts w:ascii="Roboto" w:cs="Roboto" w:eastAsia="Roboto" w:hAnsi="Roboto"/>
          <w:sz w:val="24"/>
          <w:szCs w:val="24"/>
          <w:rtl w:val="0"/>
        </w:rPr>
        <w:t xml:space="preserve"> del Estado español.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rPr/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Roboto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rFonts w:ascii="Roboto" w:cs="Roboto" w:eastAsia="Roboto" w:hAnsi="Roboto"/>
        <w:sz w:val="24"/>
        <w:szCs w:val="24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s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Roboto-regular.ttf"/><Relationship Id="rId2" Type="http://schemas.openxmlformats.org/officeDocument/2006/relationships/font" Target="fonts/Roboto-bold.ttf"/><Relationship Id="rId3" Type="http://schemas.openxmlformats.org/officeDocument/2006/relationships/font" Target="fonts/Roboto-italic.ttf"/><Relationship Id="rId4" Type="http://schemas.openxmlformats.org/officeDocument/2006/relationships/font" Target="fonts/Roboto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