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SLA Template</w:t>
      </w:r>
    </w:p>
    <w:p>
      <w:r>
        <w:t>This template defines standard service-level terms for supply-chain suppliers.</w:t>
      </w:r>
    </w:p>
    <w:p>
      <w:pPr>
        <w:pStyle w:val="Heading1"/>
      </w:pPr>
      <w:r>
        <w:t>Delivery SLA</w:t>
      </w:r>
    </w:p>
    <w:p>
      <w:r>
        <w:t>Supplier shall deliver purchase orders within the agreed lead time.</w:t>
      </w:r>
    </w:p>
    <w:p>
      <w:pPr>
        <w:pStyle w:val="Heading1"/>
      </w:pPr>
      <w:r>
        <w:t>Quality</w:t>
      </w:r>
    </w:p>
    <w:p>
      <w:r>
        <w:t>Supplier must maintain a defect rate below the agreed threshold.</w:t>
      </w:r>
    </w:p>
    <w:p>
      <w:pPr>
        <w:pStyle w:val="Heading1"/>
      </w:pPr>
      <w:r>
        <w:t>Penalties</w:t>
      </w:r>
    </w:p>
    <w:p>
      <w:r>
        <w:t>Repeated SLA breaches may trigger invoice credits or corrective action.</w:t>
      </w:r>
    </w:p>
    <w:p>
      <w:pPr>
        <w:pStyle w:val="Heading1"/>
      </w:pPr>
      <w:r>
        <w:t>Review</w:t>
      </w:r>
    </w:p>
    <w:p>
      <w:r>
        <w:t>High-risk suppliers require quarterly business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