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Exercise 03 — Concept of Decomposition</w:t>
        <w:br/>
        <w:t>Основные понятия декомпозиции</w:t>
      </w:r>
    </w:p>
    <w:p>
      <w:pPr>
        <w:pStyle w:val="Heading1"/>
        <w:keepNext/>
      </w:pPr>
      <w:r>
        <w:t>1. Демографическая пирамида РФ</w:t>
      </w:r>
    </w:p>
    <w:p>
      <w:pPr>
        <w:keepNext/>
      </w:pPr>
      <w:r>
        <w:t>В работе рассмотрена демографическая пирамида Российской Федерации за 2025 год. Демографическая пирамида показывает распределение населения по полу и возрастным группам.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5211871"/>
            <wp:docPr id="1" name="Picture 1" descr="Демографическая пирамида Российской Федерации за 2025 го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graphic_pyramid_russia_2025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211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1. Демографическая пирамида Российской Федерации, 2025 год</w:t>
      </w:r>
    </w:p>
    <w:p>
      <w:pPr>
        <w:spacing w:line="240" w:lineRule="auto" w:after="12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Источник: PopulationPyramid.net, Россия, 2025.</w:t>
      </w:r>
    </w:p>
    <w:p>
      <w:pPr>
        <w:pStyle w:val="Heading1"/>
        <w:keepNext/>
      </w:pPr>
      <w:r>
        <w:t>2. Показатель разбиения</w:t>
      </w:r>
    </w:p>
    <w:p>
      <w:r>
        <w:t>Показатель, который отображается на демографической пирамиде, — численность или доля населения в возрастно-половых группах. Критерии разбиения населения: пол и возрастная группа.</w:t>
      </w:r>
    </w:p>
    <w:p>
      <w:pPr>
        <w:pStyle w:val="Heading1"/>
        <w:keepNext/>
      </w:pPr>
      <w:r>
        <w:t>3. Цель составления демографической пирамиды</w:t>
      </w:r>
    </w:p>
    <w:p>
      <w:r>
        <w:t>Цель составления демографической пирамиды — наглядно показать половозрастную структуру населения Российской Федерации, то есть распределение мужчин и женщин по возрастным группам.</w:t>
      </w:r>
    </w:p>
    <w:p>
      <w:r>
        <w:t>Такая диаграмма помогает увидеть соотношение полов, численность возрастных групп и особенности возрастной структуры населения.</w:t>
      </w:r>
    </w:p>
    <w:p>
      <w:pPr>
        <w:pStyle w:val="Heading1"/>
        <w:keepNext/>
      </w:pPr>
      <w:r>
        <w:t>4. Вид декомпозиции</w:t>
      </w:r>
    </w:p>
    <w:p>
      <w:r>
        <w:t>Вид декомпозиции — структурная декомпозиция.</w:t>
      </w:r>
    </w:p>
    <w:p>
      <w:r>
        <w:t>Демографическая пирамида относится к структурной декомпозиции, потому что население разделяется на группы по выбранным критериям: полу и возрасту. Диаграмма не показывает последовательность действий, а отображает состав и структуру объекта анализа.</w:t>
      </w:r>
    </w:p>
    <w:p>
      <w:pPr>
        <w:pStyle w:val="Heading1"/>
        <w:keepNext/>
      </w:pPr>
      <w:r>
        <w:t>5. Уровни декомпозиции</w:t>
      </w:r>
    </w:p>
    <w:p>
      <w:r>
        <w:t>Количество уровней декомпозиции — 2 уровня, не считая нулевой уровень. Нулевой уровень показывает объект анализа целиком, поэтому он не считается уровнем разбиения.</w:t>
      </w:r>
    </w:p>
    <w:p>
      <w:pPr>
        <w:ind w:firstLine="0"/>
      </w:pPr>
      <w:r>
        <w:br/>
      </w:r>
    </w:p>
    <w:p>
      <w:pPr>
        <w:keepNext/>
        <w:spacing w:line="240" w:lineRule="auto"/>
        <w:ind w:firstLine="0"/>
        <w:jc w:val="center"/>
      </w:pPr>
      <w:br w:type="page"/>
      <w:r>
        <w:rPr>
          <w:rFonts w:ascii="Times New Roman" w:hAnsi="Times New Roman" w:eastAsia="Times New Roman"/>
          <w:b w:val="0"/>
          <w:i/>
          <w:sz w:val="24"/>
        </w:rPr>
        <w:t>Таблица 1. Уровни и критерии декомпозиции демографической пирамиды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Уровень</w:t>
            </w:r>
          </w:p>
        </w:tc>
        <w:tc>
          <w:tcPr>
            <w:tcW w:type="dxa" w:w="4819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Содержание уровня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Критерий разбиения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Население Российской Федерации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Исходная система, разбиения нет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Мужчины и женщины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Возрастные группы внутри каждой группы по полу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Возрастная группа</w:t>
            </w:r>
          </w:p>
        </w:tc>
      </w:tr>
    </w:tbl>
    <w:p>
      <w:pPr>
        <w:pStyle w:val="Heading1"/>
        <w:keepNext/>
      </w:pPr>
      <w:r>
        <w:t>6. Критерии разбиения каждого уровня</w:t>
      </w:r>
    </w:p>
    <w:p>
      <w:r>
        <w:t>На нулевом уровне население РФ рассматривается как единое целое.</w:t>
      </w:r>
    </w:p>
    <w:p>
      <w:r>
        <w:t>На первом уровне используется критерий пола: население делится на мужчин и женщин.</w:t>
      </w:r>
    </w:p>
    <w:p>
      <w:r>
        <w:t>На втором уровне используется критерий возраста: каждая группа по полу делится на возрастные интервалы. На рисунке возрастные группы представлены интервалами 0–4, 5–9, 10–14 лет и далее.</w:t>
      </w:r>
    </w:p>
    <w:p>
      <w:pPr>
        <w:pStyle w:val="Heading1"/>
        <w:keepNext/>
      </w:pPr>
      <w:r>
        <w:t>7. Порядок построения демографической пирамиды</w:t>
      </w:r>
    </w:p>
    <w:p>
      <w:pPr>
        <w:spacing w:line="360" w:lineRule="auto" w:after="60"/>
        <w:ind w:firstLine="0" w:left="425"/>
      </w:pPr>
      <w:r>
        <w:rPr>
          <w:rFonts w:ascii="Times New Roman" w:hAnsi="Times New Roman" w:eastAsia="Times New Roman"/>
          <w:b w:val="0"/>
          <w:i w:val="0"/>
          <w:sz w:val="28"/>
        </w:rPr>
        <w:t>1. Определить объект анализа — население Российской Федерации.</w:t>
      </w:r>
    </w:p>
    <w:p>
      <w:pPr>
        <w:spacing w:line="360" w:lineRule="auto" w:after="60"/>
        <w:ind w:firstLine="0" w:left="425"/>
      </w:pPr>
      <w:r>
        <w:rPr>
          <w:rFonts w:ascii="Times New Roman" w:hAnsi="Times New Roman" w:eastAsia="Times New Roman"/>
          <w:b w:val="0"/>
          <w:i w:val="0"/>
          <w:sz w:val="28"/>
        </w:rPr>
        <w:t>2. Выбрать год, за который строится демографическая пирамида.</w:t>
      </w:r>
    </w:p>
    <w:p>
      <w:pPr>
        <w:spacing w:line="360" w:lineRule="auto" w:after="60"/>
        <w:ind w:firstLine="0" w:left="425"/>
      </w:pPr>
      <w:r>
        <w:rPr>
          <w:rFonts w:ascii="Times New Roman" w:hAnsi="Times New Roman" w:eastAsia="Times New Roman"/>
          <w:b w:val="0"/>
          <w:i w:val="0"/>
          <w:sz w:val="28"/>
        </w:rPr>
        <w:t>3. Собрать данные о численности населения по полу и возрастным группам.</w:t>
      </w:r>
    </w:p>
    <w:p>
      <w:pPr>
        <w:spacing w:line="360" w:lineRule="auto" w:after="60"/>
        <w:ind w:firstLine="0" w:left="425"/>
      </w:pPr>
      <w:r>
        <w:rPr>
          <w:rFonts w:ascii="Times New Roman" w:hAnsi="Times New Roman" w:eastAsia="Times New Roman"/>
          <w:b w:val="0"/>
          <w:i w:val="0"/>
          <w:sz w:val="28"/>
        </w:rPr>
        <w:t>4. Разделить население на две группы по полу: мужчины и женщины.</w:t>
      </w:r>
    </w:p>
    <w:p>
      <w:pPr>
        <w:spacing w:line="360" w:lineRule="auto" w:after="60"/>
        <w:ind w:firstLine="0" w:left="425"/>
      </w:pPr>
      <w:r>
        <w:rPr>
          <w:rFonts w:ascii="Times New Roman" w:hAnsi="Times New Roman" w:eastAsia="Times New Roman"/>
          <w:b w:val="0"/>
          <w:i w:val="0"/>
          <w:sz w:val="28"/>
        </w:rPr>
        <w:t>5. Внутри каждой группы распределить население по возрастным интервалам.</w:t>
      </w:r>
    </w:p>
    <w:p>
      <w:pPr>
        <w:spacing w:line="360" w:lineRule="auto" w:after="60"/>
        <w:ind w:firstLine="0" w:left="425"/>
      </w:pPr>
      <w:r>
        <w:rPr>
          <w:rFonts w:ascii="Times New Roman" w:hAnsi="Times New Roman" w:eastAsia="Times New Roman"/>
          <w:b w:val="0"/>
          <w:i w:val="0"/>
          <w:sz w:val="28"/>
        </w:rPr>
        <w:t>6. Построить горизонтальную диаграмму: слева отразить мужчин, справа — женщин.</w:t>
      </w:r>
    </w:p>
    <w:p>
      <w:pPr>
        <w:spacing w:line="360" w:lineRule="auto" w:after="60"/>
        <w:ind w:firstLine="0" w:left="425"/>
      </w:pPr>
      <w:r>
        <w:rPr>
          <w:rFonts w:ascii="Times New Roman" w:hAnsi="Times New Roman" w:eastAsia="Times New Roman"/>
          <w:b w:val="0"/>
          <w:i w:val="0"/>
          <w:sz w:val="28"/>
        </w:rPr>
        <w:t>7. Подписать возрастные группы, значения численности или доли населения, год и источник данных.</w:t>
      </w:r>
    </w:p>
    <w:p>
      <w:pPr>
        <w:spacing w:line="360" w:lineRule="auto" w:after="60"/>
        <w:ind w:firstLine="0" w:left="425"/>
      </w:pPr>
      <w:r>
        <w:rPr>
          <w:rFonts w:ascii="Times New Roman" w:hAnsi="Times New Roman" w:eastAsia="Times New Roman"/>
          <w:b w:val="0"/>
          <w:i w:val="0"/>
          <w:sz w:val="28"/>
        </w:rPr>
        <w:t>8. Проанализировать полученную половозрастную структуру.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