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sz w:val="30"/>
        </w:rPr>
        <w:t>SECCIÓN III: RESULTADOS DE LA REVISIÓN SISTEMÁTICA DE LITERATURA (RSL)</w:t>
      </w:r>
    </w:p>
    <w:p>
      <w:pPr>
        <w:spacing w:before="0" w:after="240"/>
        <w:jc w:val="center"/>
      </w:pPr>
      <w:r>
        <w:rPr>
          <w:rFonts w:ascii="Times New Roman" w:hAnsi="Times New Roman"/>
          <w:i/>
          <w:sz w:val="19"/>
        </w:rPr>
        <w:t>Entrega Completa: Bloque 1 (Apertura, PD1, PD2, PD3, QA) + Bloque 2 (PI1, PI2, PI3, PI4, Sensibilidad y GRADE-CERQual)</w:t>
        <w:br/>
        <w:t>Estándar IEEE – Guía de Evaluación Continua ATI3 (Mg. Jimmy Sánchez Portugal)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2060"/>
          <w:sz w:val="22"/>
        </w:rPr>
        <w:t>III. RESULTADOS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97D"/>
          <w:sz w:val="20"/>
        </w:rPr>
        <w:t>A. Apertura General del Corpus y Protocolo de Síntesis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i w:val="0"/>
          <w:sz w:val="18"/>
        </w:rPr>
        <w:t>La presente sección describe y cuantifica de forma objetiva la evidencia empírica extraída del corpus de literatura científica incluido, en estricto apego a las directrices de reporte de Kitchenham &amp; Charters (2007) [1], los estándares internacionales de la declaración PRISMA 2020 [2] y las directrices metodológicas institucionales. La totalidad de los hallazgos se reporta en tercera persona impersonal y con verbos de reporte neutros, reservando las deducciones teóricas y reflexiones causales para la sección de Discusión.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i w:val="0"/>
          <w:sz w:val="18"/>
        </w:rPr>
        <w:t>El corpus documental primario quedó formalmente cerrado y congelado en un total de N = 131 artículos de revista científica indexada (100 % Journal Articles, sin actas de congreso, preprints, tesis ni literatura gris), habiendo superado el control de calidad metodológica (QA &gt;= 3.50 / 5.00; media global = 4.61 / 5.00). La numeración de citas bibliográficas mantiene una relación matemática biunívoca unívoca: Ref IEEE [n] = ID S + 2, donde [1] y [2] son Kitchenham &amp; Charters y PRISMA 2020, los 131 estudios primarios se indexan entre [3] y [133], y las referencias metodológicas complementarias de síntesis y cienciometría se ubican en [134] a [140].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i w:val="0"/>
          <w:sz w:val="18"/>
        </w:rPr>
        <w:t>Conforme a los ítems 13a–13f de PRISMA 2020 y para mitigar el sesgo de conveniencia (reporting bias), se formalizaron los métodos de síntesis: 1) Síntesis Temática (Thomas &amp; Harden [134]; Cruzes &amp; Dybå [135]) para PI1 y PI4; 2) Síntesis Narrativa Estructurada (Popay et al. [136]) para PI2; 3) Síntesis sin metaanálisis — SWiM (Campbell et al. [137]) para PI3; 4) Mapeo Sistemático Matricial (Petersen et al. [138]) para PD1 y PD3; 5) Mapeo Cienciométrico (van Eck &amp; Waltman [139]) para PD2; y 6) Calificación GRADE-CERQual (Lewin et al. [140]) para la certeza de la evidencia.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97D"/>
          <w:sz w:val="20"/>
        </w:rPr>
        <w:t>B. Evolución Temporal de la Producción Científica (PD1)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i w:val="0"/>
          <w:sz w:val="18"/>
        </w:rPr>
        <w:t>Para determinar el comportamiento cronológico de la literatura sobre IA/IDP aplicada al procesamiento de documentos de negocio entre 2020 y 2025/2026, se contabilizó la distribución de los 131 artículos primarios por año de publicación formal indexada, cuyos datos cuantitativos se detallan en la TABLA XIII y se visualizan gráficamente en la Fig. 2.</w:t>
      </w:r>
    </w:p>
    <w:p>
      <w:pPr>
        <w:keepNext/>
        <w:spacing w:before="160" w:after="40"/>
        <w:jc w:val="center"/>
      </w:pPr>
      <w:r>
        <w:rPr>
          <w:rFonts w:ascii="Times New Roman" w:hAnsi="Times New Roman"/>
          <w:b/>
          <w:sz w:val="17"/>
        </w:rPr>
        <w:t>TABLA XIII</w:t>
        <w:br/>
      </w:r>
      <w:r>
        <w:rPr>
          <w:rFonts w:ascii="Times New Roman" w:hAnsi="Times New Roman"/>
          <w:b/>
          <w:sz w:val="17"/>
        </w:rPr>
        <w:t>DISTRIBUCIÓN CRONOLÓGICA DE LA PRODUCCIÓN CIENTÍFICA (2020–2025/2026) (N = 131)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1584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Año de Publicación</w:t>
            </w:r>
          </w:p>
        </w:tc>
        <w:tc>
          <w:tcPr>
            <w:tcW w:type="dxa" w:w="4032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Estudios Primarios Indexados [n]</w:t>
            </w:r>
          </w:p>
        </w:tc>
        <w:tc>
          <w:tcPr>
            <w:tcW w:type="dxa" w:w="1296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Frecuencia Absoluta (n)</w:t>
            </w:r>
          </w:p>
        </w:tc>
        <w:tc>
          <w:tcPr>
            <w:tcW w:type="dxa" w:w="1296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Frecuencia Relativa (%)</w:t>
            </w:r>
          </w:p>
        </w:tc>
        <w:tc>
          <w:tcPr>
            <w:tcW w:type="dxa" w:w="1296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Porcentaje Acumulado (%)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2020</w:t>
            </w:r>
          </w:p>
        </w:tc>
        <w:tc>
          <w:tcPr>
            <w:tcW w:type="dxa" w:w="403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[64], [111], [130], [131]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3.1 %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3.1 %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2021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[58]–[63], [112]–[114], [123], [126]–[129]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14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10.7 %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13.8 %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2022</w:t>
            </w:r>
          </w:p>
        </w:tc>
        <w:tc>
          <w:tcPr>
            <w:tcW w:type="dxa" w:w="403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[50]–[55], [57], [103]–[109], [125], [132], [133]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17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13.0 %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26.8 %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2023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[39]–[49], [67], [90]–[92], [94]–[102], [121], [124]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26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19.8 %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46.6 %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2024</w:t>
            </w:r>
          </w:p>
        </w:tc>
        <w:tc>
          <w:tcPr>
            <w:tcW w:type="dxa" w:w="403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[28]–[31], [33]–[38], [84], [86]–[89], [120]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12.2 %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58.8 %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2025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[4]–[27], [32], [56], [68]–[83], [85], [93], [110], [115]–[119], [122]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51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38.9 %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97.7 %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2026*</w:t>
            </w:r>
          </w:p>
        </w:tc>
        <w:tc>
          <w:tcPr>
            <w:tcW w:type="dxa" w:w="403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[3], [65], [66]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2.3 %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100.0 %</w:t>
            </w:r>
          </w:p>
        </w:tc>
      </w:tr>
    </w:tbl>
    <w:p>
      <w:pPr>
        <w:spacing w:before="40" w:after="120"/>
        <w:jc w:val="left"/>
      </w:pPr>
      <w:r>
        <w:rPr>
          <w:rFonts w:ascii="Times New Roman" w:hAnsi="Times New Roman"/>
          <w:i/>
          <w:sz w:val="15"/>
        </w:rPr>
        <w:t>* Nota: Los estudios fechados en 2026 corresponden a artículos aceptados e incorporados en modalidad Early Access / In Press en Scopus y Web of Science durante el cierre de 2025 ([3], [65], [66]). Fuente: elaboración propia a partir del corpus primario [3]–[133].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21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volucion_an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both"/>
      </w:pPr>
      <w:r>
        <w:rPr>
          <w:rFonts w:ascii="Times New Roman" w:hAnsi="Times New Roman"/>
          <w:b/>
          <w:sz w:val="16"/>
        </w:rPr>
        <w:t xml:space="preserve">Fig. 2. </w:t>
      </w:r>
      <w:r>
        <w:rPr>
          <w:rFonts w:ascii="Times New Roman" w:hAnsi="Times New Roman"/>
          <w:b/>
          <w:sz w:val="16"/>
        </w:rPr>
        <w:t xml:space="preserve">Evolución temporal de publicaciones sobre IA/IDP en documentos empresariales (2020–2025/2026, N = 131). </w:t>
      </w:r>
      <w:r>
        <w:rPr>
          <w:rFonts w:ascii="Times New Roman" w:hAnsi="Times New Roman"/>
          <w:i/>
          <w:sz w:val="16"/>
        </w:rPr>
        <w:t>Barras: volumen anual absoluto (n); línea roja: porcentaje acumulado (%). Fuente: elaboración propia a partir del corpus primario [3]–[133].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1) Apertura (Respuesta a PD1): </w:t>
      </w:r>
      <w:r>
        <w:rPr>
          <w:rFonts w:ascii="Times New Roman" w:hAnsi="Times New Roman"/>
          <w:i w:val="0"/>
          <w:sz w:val="18"/>
        </w:rPr>
        <w:t>Ciento treinta y un estudios (100.0 % del corpus primario; [3]–[133]) respondieron a la evolución cronológica de la producción científica en IA e IDP aplicada a sistemas documentales corporativos (PD1). Mediante mapeo sistemático cronológico se identificó una trayectoria de crecimiento marcadamente expansiva y no lineal a lo largo del sexenio 2020–2025/2026, con una concentración máxima de publicaciones en el bienio final (TABLA XIII, Fig. 2).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2) Desarrollo por Categoría y Fases Temporales: </w:t>
      </w:r>
      <w:r>
        <w:rPr>
          <w:rFonts w:ascii="Times New Roman" w:hAnsi="Times New Roman"/>
          <w:i w:val="0"/>
          <w:sz w:val="18"/>
        </w:rPr>
        <w:t>La dinámica temporal se articula en tres periodos analíticos: a) Fase de emergencia y cimientos basados en OCR-CNN (2020–2021) con 18 estudios (13.7 %; [58]–[64], [111]–[114], [123], [126]–[131]); b) Fase de consolidación de Transformers Multimodales (2022–2023) con 43 estudios (32.8 %; [39]–[55], [57], [67], [90]–[92], [94]–[109], [121], [124], [125], [132], [133]); y c) Fase de aceleración exponencial con VLMs y Modelos Generativos (2025–2026*) con 54 estudios (41.2 %; [3]–[27], [32], [56], [65], [66], [68]–[83], [85], [93], [110], [115]–[119], [122]), impulsada por Vision-Language Models y LLMs adaptados con prompt engineering.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3) Contrastes y Debates Temporales: </w:t>
      </w:r>
      <w:r>
        <w:rPr>
          <w:rFonts w:ascii="Times New Roman" w:hAnsi="Times New Roman"/>
          <w:i w:val="0"/>
          <w:sz w:val="18"/>
        </w:rPr>
        <w:t>A pesar de la tendencia alcista, se observó una desaceleración temporal en 2024 (16 estudios; 12.2 %; [28]–[31], [33]–[38], [84], [86]–[89], [120]), obedeciendo al agotamiento empírico de las arquitecturas de grafos tradicionales y pipelines heurísticos que exhibían techos de rendimiento frente a distorsiones complejas.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4) Cierre, Tendencias y Sensibilidad: </w:t>
      </w:r>
      <w:r>
        <w:rPr>
          <w:rFonts w:ascii="Times New Roman" w:hAnsi="Times New Roman"/>
          <w:i w:val="0"/>
          <w:sz w:val="18"/>
        </w:rPr>
        <w:t>La literatura transita irreversiblemente desde el OCR simple hacia sistemas de comprensión de documentos visualmente ricos (VRD). Al excluir los 10 estudios de calidad inferior (QA = 3.5), el ciclo 2025–2026 agrupa el 42.1 %, ratificando la robustez de la tendencia expansiva.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97D"/>
          <w:sz w:val="20"/>
        </w:rPr>
        <w:t>C. Productividad por Revistas, Autores, Países y Red de Coocurrencia (PD2)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i w:val="0"/>
          <w:sz w:val="18"/>
        </w:rPr>
        <w:t>Para responder a PD2, se normalizaron los títulos de las revistas indexadas, se contabilizó la productividad de los autores, se aplicó la regla estricta de afiliación geográfica del primer autor y se estructuró la red de coocurrencia de Author Keywords con umbral &gt;= 3 en VOSviewer [139] (TABLA XIV, TABLA XV, Fig. 3).</w:t>
      </w:r>
    </w:p>
    <w:p>
      <w:pPr>
        <w:keepNext/>
        <w:spacing w:before="160" w:after="40"/>
        <w:jc w:val="center"/>
      </w:pPr>
      <w:r>
        <w:rPr>
          <w:rFonts w:ascii="Times New Roman" w:hAnsi="Times New Roman"/>
          <w:b/>
          <w:sz w:val="17"/>
        </w:rPr>
        <w:t>TABLA XIV</w:t>
        <w:br/>
      </w:r>
      <w:r>
        <w:rPr>
          <w:rFonts w:ascii="Times New Roman" w:hAnsi="Times New Roman"/>
          <w:b/>
          <w:sz w:val="17"/>
        </w:rPr>
        <w:t>REVISTAS CIENTÍFICAS LÍDERES EN PROCESAMIENTO INTELIGENTE DE DOCUMENTOS EMPRESARIALES (N = 131)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3600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Revista Científica Indexada</w:t>
            </w:r>
          </w:p>
        </w:tc>
        <w:tc>
          <w:tcPr>
            <w:tcW w:type="dxa" w:w="1296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Editorial</w:t>
            </w:r>
          </w:p>
        </w:tc>
        <w:tc>
          <w:tcPr>
            <w:tcW w:type="dxa" w:w="864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Cuartil</w:t>
            </w:r>
          </w:p>
        </w:tc>
        <w:tc>
          <w:tcPr>
            <w:tcW w:type="dxa" w:w="2592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Artículos en Corpus [n]</w:t>
            </w:r>
          </w:p>
        </w:tc>
        <w:tc>
          <w:tcPr>
            <w:tcW w:type="dxa" w:w="1152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Frecuencia Relativa (%)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IEEE Access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IEEE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Q1 / Q2</w:t>
            </w:r>
          </w:p>
        </w:tc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[5], [8], [16], [26], [59]–[61], [84], [88], [94], [103], [108], [131]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13 (9.9 %)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International Journal on Document Analysis and Recognition (IJDAR)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Springer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Q2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[9], [33], [35], [39], [50], [65], [66], [70], [77], [115]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 (7.6 %)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Pattern Recognition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Elsevier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Q1</w:t>
            </w:r>
          </w:p>
        </w:tc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[3], [41], [80], [92], [105], [120]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6 (4.6 %)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Multimedia Tools and Applications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Springer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Q2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[15], [21], [52], [55], [57]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 (3.8 %)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Expert Systems with Applications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Elsevier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Q1</w:t>
            </w:r>
          </w:p>
        </w:tc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[11], [36], [67], [83]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 (3.1 %)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Engineering Applications of Artificial Intelligence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Elsevier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Q1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[24], [101], [114], [119]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 (3.1 %)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Applied Sciences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MDPI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Q2</w:t>
            </w:r>
          </w:p>
        </w:tc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[79], [85], [97], [123]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 (3.1 %)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Electronics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MDPI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Q2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[4], [7], [42]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 (2.3 %)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International Journal of Pattern Recognition and Artificial Intelligence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World Scientific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Q3</w:t>
            </w:r>
          </w:p>
        </w:tc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[47], [89], [121]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 (2.3 %)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Neurocomputing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Elsevier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Q1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[23], [38], [51]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 (2.3 %)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Computers, Materials and Continua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Tech Science Press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Q2</w:t>
            </w:r>
          </w:p>
        </w:tc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[22], [62], [109]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 (2.3 %)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Proceedings of the VLDB Endowment (PVLDB)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VLDB Endowment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Q1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[58], [112], [130]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 (2.3 %)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Otras 61 revistas indexadas (&lt;= 2 estudios c/u)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Diversas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Q1–Q3</w:t>
            </w:r>
          </w:p>
        </w:tc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Citas dispersas [10], [12], [13], [17]–[20], etc.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70 (53.4 %)</w:t>
            </w:r>
          </w:p>
        </w:tc>
      </w:tr>
    </w:tbl>
    <w:p>
      <w:pPr>
        <w:spacing w:before="40" w:after="120"/>
        <w:jc w:val="left"/>
      </w:pPr>
      <w:r>
        <w:rPr>
          <w:rFonts w:ascii="Times New Roman" w:hAnsi="Times New Roman"/>
          <w:i/>
          <w:sz w:val="15"/>
        </w:rPr>
        <w:t>Fuente: elaboración propia a partir del corpus primario [3]–[133]. Nombres de revistas unificados y normalizados de Scopus y Web of Science.</w:t>
      </w:r>
    </w:p>
    <w:p>
      <w:pPr>
        <w:keepNext/>
        <w:spacing w:before="160" w:after="40"/>
        <w:jc w:val="center"/>
      </w:pPr>
      <w:r>
        <w:rPr>
          <w:rFonts w:ascii="Times New Roman" w:hAnsi="Times New Roman"/>
          <w:b/>
          <w:sz w:val="17"/>
        </w:rPr>
        <w:t>TABLA XV</w:t>
        <w:br/>
      </w:r>
      <w:r>
        <w:rPr>
          <w:rFonts w:ascii="Times New Roman" w:hAnsi="Times New Roman"/>
          <w:b/>
          <w:sz w:val="17"/>
        </w:rPr>
        <w:t>CONCENTRACIÓN GEOGRÁFICA POR AFILIACIÓN DEL PRIMER AUTOR Y AUTORES DESTACADOS (N = 131)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160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País de Afiliación (Primer Autor)</w:t>
            </w:r>
          </w:p>
        </w:tc>
        <w:tc>
          <w:tcPr>
            <w:tcW w:type="dxa" w:w="1008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Estudios [n]</w:t>
            </w:r>
          </w:p>
        </w:tc>
        <w:tc>
          <w:tcPr>
            <w:tcW w:type="dxa" w:w="1008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% Relativo</w:t>
            </w:r>
          </w:p>
        </w:tc>
        <w:tc>
          <w:tcPr>
            <w:tcW w:type="dxa" w:w="5328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Autores Más Prolíficos en el Corpus (&gt;= 2 publicaciones vinculadas)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China</w:t>
            </w:r>
          </w:p>
        </w:tc>
        <w:tc>
          <w:tcPr>
            <w:tcW w:type="dxa" w:w="100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39</w:t>
            </w:r>
          </w:p>
        </w:tc>
        <w:tc>
          <w:tcPr>
            <w:tcW w:type="dxa" w:w="100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29.8 %</w:t>
            </w:r>
          </w:p>
        </w:tc>
        <w:tc>
          <w:tcPr>
            <w:tcW w:type="dxa" w:w="532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Zhang J. (4; [43], [81], [82], [120]), Zhang Y. (4; [78], [79], [81], [82]), Li C. (3; [9], [15], [32]), Liu J. (3; [19], [34], [74]), Zhang W. (3; [26], [37], [73]), Ma J. (3; [37], [43], [120]), Zhang Z. (3; [43], [83], [120]).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India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11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8.4 %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Tiwari D. (2; [10], [31]), Gupta A. (2; [10], [31]), Baviskar D. (2; [60], [129]), Ahirrao S. (2; [60], [129]), Kotecha K. (2; [60], [129]).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Estados Unidos</w:t>
            </w:r>
          </w:p>
        </w:tc>
        <w:tc>
          <w:tcPr>
            <w:tcW w:type="dxa" w:w="100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</w:t>
            </w:r>
          </w:p>
        </w:tc>
        <w:tc>
          <w:tcPr>
            <w:tcW w:type="dxa" w:w="100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7.6 %</w:t>
            </w:r>
          </w:p>
        </w:tc>
        <w:tc>
          <w:tcPr>
            <w:tcW w:type="dxa" w:w="532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Wang P. (3; [47], [89], [121]), Lai P. (2; [89], [121]), Kim S. (2; [89], [121]), Burdick D. (1; [130]).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Alemania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9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6.9 %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Hashmi K.A. (3; [59], [61], [123]), Liwicki M. (3; [59], [61], [123]), Stricker D. (3; [59], [61], [123]), Afzal M.Z. (2; [59], [61]).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Corea del Sur</w:t>
            </w:r>
          </w:p>
        </w:tc>
        <w:tc>
          <w:tcPr>
            <w:tcW w:type="dxa" w:w="100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100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4.6 %</w:t>
            </w:r>
          </w:p>
        </w:tc>
        <w:tc>
          <w:tcPr>
            <w:tcW w:type="dxa" w:w="532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Lee S. (3; [42], [71], [121]), Lee E. (2; [52], [71]), Cho N.I. (2; [52], [71]).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Canadá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3.8 %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Simsek M. (4; [11], [35], [48], [51]), Kantarci B. (4; [11], [35], [48], [51]), Xiao B. (3; [11], [35], [48]), Alkheir A.A. (3; [11], [35], [48]).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Vietnam</w:t>
            </w:r>
          </w:p>
        </w:tc>
        <w:tc>
          <w:tcPr>
            <w:tcW w:type="dxa" w:w="100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100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3.8 %</w:t>
            </w:r>
          </w:p>
        </w:tc>
        <w:tc>
          <w:tcPr>
            <w:tcW w:type="dxa" w:w="532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Tran A.C. (2; [75], [107]), Nguyen H.T. (2; [75], [107]), Nguyen M.-T. (2; [67], [114]).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Taiwán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3.1 %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Chen L.-C. (1; [4]), Lin H.-Y. (1; [98]), Lee W.-T. (1; [106]), Huang C.-C. (1; [106]).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Turquía</w:t>
            </w:r>
          </w:p>
        </w:tc>
        <w:tc>
          <w:tcPr>
            <w:tcW w:type="dxa" w:w="100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100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3.1 %</w:t>
            </w:r>
          </w:p>
        </w:tc>
        <w:tc>
          <w:tcPr>
            <w:tcW w:type="dxa" w:w="532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Oral B. (2; [50], [64]), Eryiğit G. (2; [50], [64]), Sayallar C. (1; [100]), Arslan H. (1; [103]).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España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2.3 %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Fornés A. (2; [105], [111]), Lladós J. (2; [105], [116]), Sainz-De-Abajo B. (1; [131]).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Otros 22 países (&lt;= 2 estudios c/u)</w:t>
            </w:r>
          </w:p>
        </w:tc>
        <w:tc>
          <w:tcPr>
            <w:tcW w:type="dxa" w:w="100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38</w:t>
            </w:r>
          </w:p>
        </w:tc>
        <w:tc>
          <w:tcPr>
            <w:tcW w:type="dxa" w:w="100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29.0 %</w:t>
            </w:r>
          </w:p>
        </w:tc>
        <w:tc>
          <w:tcPr>
            <w:tcW w:type="dxa" w:w="532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Investigadores con filiaciones en Australia, Reino Unido, Singapur, Francia, Italia, etc.</w:t>
            </w:r>
          </w:p>
        </w:tc>
      </w:tr>
    </w:tbl>
    <w:p>
      <w:pPr>
        <w:spacing w:before="40" w:after="120"/>
        <w:jc w:val="left"/>
      </w:pPr>
      <w:r>
        <w:rPr>
          <w:rFonts w:ascii="Times New Roman" w:hAnsi="Times New Roman"/>
          <w:i/>
          <w:sz w:val="15"/>
        </w:rPr>
        <w:t>Fuente: elaboración propia a partir del corpus primario [3]–[133]. Regla de país: país de la institución universitaria o centro corporativo del primer autor.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36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vosviewer_geograf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both"/>
      </w:pPr>
      <w:r>
        <w:rPr>
          <w:rFonts w:ascii="Times New Roman" w:hAnsi="Times New Roman"/>
          <w:b/>
          <w:sz w:val="16"/>
        </w:rPr>
        <w:t xml:space="preserve">Fig. 3. </w:t>
      </w:r>
      <w:r>
        <w:rPr>
          <w:rFonts w:ascii="Times New Roman" w:hAnsi="Times New Roman"/>
          <w:b/>
          <w:sz w:val="16"/>
        </w:rPr>
        <w:t xml:space="preserve">Concentración geográfica de la investigación y principales clústeres temáticos de palabras clave (PD2, N = 131). </w:t>
      </w:r>
      <w:r>
        <w:rPr>
          <w:rFonts w:ascii="Times New Roman" w:hAnsi="Times New Roman"/>
          <w:i/>
          <w:sz w:val="16"/>
        </w:rPr>
        <w:t>(a) Distribución porcentual por país del autor principal; (b) Frecuencia de descriptores (umbral ≥ 3) en VOSviewer. Fuente: elaboración propia a partir del corpus primario [3]–[133].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1) Apertura (Respuesta a PD2): </w:t>
      </w:r>
      <w:r>
        <w:rPr>
          <w:rFonts w:ascii="Times New Roman" w:hAnsi="Times New Roman"/>
          <w:i w:val="0"/>
          <w:sz w:val="18"/>
        </w:rPr>
        <w:t>Ciento treinta y un artículos primarios (100.0 % del corpus; [3]–[133]) respondieron a la productividad por revistas, autores, países y red temática (PD2), constatándose concentración editorial en revistas especializadas de procesamiento de documentos y liderazgo geográfico de China (29.8 %), India (8.4 %) y EE.UU. (7.6 %) con alta desconcentración autoral (TABLA XIV, TABLA XV, Fig. 3).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2) Desarrollo por Categoría y Redes Temáticas: </w:t>
      </w:r>
      <w:r>
        <w:rPr>
          <w:rFonts w:ascii="Times New Roman" w:hAnsi="Times New Roman"/>
          <w:i w:val="0"/>
          <w:sz w:val="18"/>
        </w:rPr>
        <w:t>Doce revistas concentraron el 46.6 % de las publicaciones (lideradas por IEEE Access con 13 estudios e IJDAR con 10). En palabras clave de autor (VOSviewer) emergieron 3 clústeres conceptuales: 1) Extracción de Información y Comprensión Documental; 2) Aprendizaje Profundo y OCR; y 3) Reconocimiento de Estructura de Tablas.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3) Contrastes y Dispersión Autoral: </w:t>
      </w:r>
      <w:r>
        <w:rPr>
          <w:rFonts w:ascii="Times New Roman" w:hAnsi="Times New Roman"/>
          <w:i w:val="0"/>
          <w:sz w:val="18"/>
        </w:rPr>
        <w:t>Se constató una alta dispersión autoral: de 498 investigadores, el 84.7 % publicó exactamente un artículo. Solo dos grupos sostuvieron producción serial: la Univ. de Ottawa en Canadá (Simsek M., Kantarci B., Xiao B. y Alkheir A.A. con 4 estudios; [11], [35], [48], [51]) y el DFKI de Alemania (Hashmi K.A., Liwicki M., Stricker D. y Afzal M.Z. con 3 estudios; [59], [61], [123]).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4) Cierre, Tendencias y Sensibilidad: </w:t>
      </w:r>
      <w:r>
        <w:rPr>
          <w:rFonts w:ascii="Times New Roman" w:hAnsi="Times New Roman"/>
          <w:i w:val="0"/>
          <w:sz w:val="18"/>
        </w:rPr>
        <w:t>Se detectó una brecha geográfica total: cero estudios primarios con primer autor de América Latina aplicados a comprobantes de la región (las contribuciones hispanas provienen de España en tablas y recibos; [105], [111], [131]). La exclusión de estudios con QA = 3.5 no alteró las 5 revistas líderes ni la hegemonía de China (31.4 %), confirmando la estabilidad cienciométrica.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97D"/>
          <w:sz w:val="20"/>
        </w:rPr>
        <w:t>D. Clasificación de Diseños Metodológicos × Tipología de Datasets (PD3)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i w:val="0"/>
          <w:sz w:val="18"/>
        </w:rPr>
        <w:t>Para evaluar la transferibilidad industrial de las soluciones, se cruzaron los diseños metodológicos frente a las fuentes de datos utilizadas. La evaluación ciega sobre el 20.6 % del corpus (n = 27) reportó un Kappa de Cohen κ = 0.85 (acuerdo del 88.9 %; concordancia casi perfecta). La matriz de contingencia de 12 celdas exactas se expone en la TABLA XVI y el gráfico de burbujas de Petersen et al. [138] en la Fig. 4.</w:t>
      </w:r>
    </w:p>
    <w:p>
      <w:pPr>
        <w:keepNext/>
        <w:spacing w:before="160" w:after="40"/>
        <w:jc w:val="center"/>
      </w:pPr>
      <w:r>
        <w:rPr>
          <w:rFonts w:ascii="Times New Roman" w:hAnsi="Times New Roman"/>
          <w:b/>
          <w:sz w:val="17"/>
        </w:rPr>
        <w:t>TABLA XVI</w:t>
        <w:br/>
      </w:r>
      <w:r>
        <w:rPr>
          <w:rFonts w:ascii="Times New Roman" w:hAnsi="Times New Roman"/>
          <w:b/>
          <w:sz w:val="17"/>
        </w:rPr>
        <w:t>MATRIZ CRUZADA DE DISEÑOS METODOLÓGICOS Y TIPOLOGÍA DE DATASETS (PD3) (N = 131)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2592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Diseño Metodológico de Investigación</w:t>
            </w:r>
          </w:p>
        </w:tc>
        <w:tc>
          <w:tcPr>
            <w:tcW w:type="dxa" w:w="2592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Benchmarks Públicos Abiertos</w:t>
            </w:r>
          </w:p>
        </w:tc>
        <w:tc>
          <w:tcPr>
            <w:tcW w:type="dxa" w:w="1872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Datasets Corporativos Privados</w:t>
            </w:r>
          </w:p>
        </w:tc>
        <w:tc>
          <w:tcPr>
            <w:tcW w:type="dxa" w:w="1584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Datasets Híbridos / Mixtos</w:t>
            </w:r>
          </w:p>
        </w:tc>
        <w:tc>
          <w:tcPr>
            <w:tcW w:type="dxa" w:w="864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Total por Diseño [n]</w:t>
            </w:r>
          </w:p>
        </w:tc>
        <w:tc>
          <w:tcPr>
            <w:tcW w:type="dxa" w:w="864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% Relativo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Experimental Controlado</w:t>
            </w:r>
          </w:p>
        </w:tc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48 (36.6 %)</w:t>
              <w:br/>
              <w:t>[3]–[6], [8], [9], [12], [14], [15], [17], [19], [30]–[33], [35], [37], [39]–[42], [46]–[48], [50], [52], [57], [61], [67], [71]–[74], [76], [77], [80], [83], [86], [88]–[90], [92], [93], [96], [99], [104], [105], [108]</w:t>
            </w:r>
          </w:p>
        </w:tc>
        <w:tc>
          <w:tcPr>
            <w:tcW w:type="dxa" w:w="187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18 (13.7 %)</w:t>
              <w:br/>
              <w:t>[7], [10], [11], [13], [20], [22], [28], [34], [36], [43]–[45], [49], [51], [55], [56], [81], [91]</w:t>
            </w:r>
          </w:p>
        </w:tc>
        <w:tc>
          <w:tcPr>
            <w:tcW w:type="dxa" w:w="158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16 (12.2 %)</w:t>
              <w:br/>
              <w:t>[16], [18], [21], [23]–[27], [29], [38], [60], [65], [66], [68], [78], [87]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82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62.6 %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Desarrollo de Artefacto / PoC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14 (10.7 %)</w:t>
              <w:br/>
              <w:t>[63], [69], [79], [97], [100], [102], [106], [109]–[111], [113]–[116]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11 (8.4 %)</w:t>
              <w:br/>
              <w:t>[54], [95], [98], [112], [118]–[124]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6 (4.6 %)</w:t>
              <w:br/>
              <w:t>[58], [59], [125], [126], [129], [130]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23.7 %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Cuasi-experimental</w:t>
            </w:r>
          </w:p>
        </w:tc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4 (3.1 %)</w:t>
              <w:br/>
              <w:t>[85], [94], [101], [132]</w:t>
            </w:r>
          </w:p>
        </w:tc>
        <w:tc>
          <w:tcPr>
            <w:tcW w:type="dxa" w:w="187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4 (3.1 %)</w:t>
              <w:br/>
              <w:t>[53], [82], [107], [133]</w:t>
            </w:r>
          </w:p>
        </w:tc>
        <w:tc>
          <w:tcPr>
            <w:tcW w:type="dxa" w:w="158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2 (1.5 %)</w:t>
              <w:br/>
              <w:t>[62], [128]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7.6 %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Caso de Estudio Real Corporativo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2 (1.5 %)</w:t>
              <w:br/>
              <w:t>[84], [103]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5 (3.8 %)</w:t>
              <w:br/>
              <w:t>[64], [70], [75], [117], [127]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1 (0.8 %)</w:t>
              <w:br/>
              <w:t>[131]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6.1 %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Total por Tipología de Dataset</w:t>
            </w:r>
          </w:p>
        </w:tc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68 (51.9 %)</w:t>
            </w:r>
          </w:p>
        </w:tc>
        <w:tc>
          <w:tcPr>
            <w:tcW w:type="dxa" w:w="187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38 (29.0 %)</w:t>
            </w:r>
          </w:p>
        </w:tc>
        <w:tc>
          <w:tcPr>
            <w:tcW w:type="dxa" w:w="158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25 (19.1 %)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131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100.0 %</w:t>
            </w:r>
          </w:p>
        </w:tc>
      </w:tr>
    </w:tbl>
    <w:p>
      <w:pPr>
        <w:spacing w:before="40" w:after="120"/>
        <w:jc w:val="left"/>
      </w:pPr>
      <w:r>
        <w:rPr>
          <w:rFonts w:ascii="Times New Roman" w:hAnsi="Times New Roman"/>
          <w:i/>
          <w:sz w:val="15"/>
        </w:rPr>
        <w:t>Fuente: elaboración propia a partir del corpus primario [3]–[133]. Medición de acuerdo inter-evaluador sobre muestra del 20.6 % (n = 27): Po = 88.9 %, Pe = 0.258, κ = 0.85 (casi perfecto). Partición matemática exacta de 12 celdas.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96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burbujas_disenos_datase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both"/>
      </w:pPr>
      <w:r>
        <w:rPr>
          <w:rFonts w:ascii="Times New Roman" w:hAnsi="Times New Roman"/>
          <w:b/>
          <w:sz w:val="16"/>
        </w:rPr>
        <w:t xml:space="preserve">Fig. 4. </w:t>
      </w:r>
      <w:r>
        <w:rPr>
          <w:rFonts w:ascii="Times New Roman" w:hAnsi="Times New Roman"/>
          <w:b/>
          <w:sz w:val="16"/>
        </w:rPr>
        <w:t xml:space="preserve">Gráfico de burbujas del mapeo sistemático (Petersen et al. [138]): Diseño Metodológico vs. Tipología de Dataset (PD3, N = 131). </w:t>
      </w:r>
      <w:r>
        <w:rPr>
          <w:rFonts w:ascii="Times New Roman" w:hAnsi="Times New Roman"/>
          <w:i/>
          <w:sz w:val="16"/>
        </w:rPr>
        <w:t>El área de cada burbuja es proporcional al número de estudios primarios (n); porcentajes sobre la totalidad del corpus. Fuente: elaboración propia a partir del corpus primario [3]–[133].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1) Apertura (Respuesta a PD3): </w:t>
      </w:r>
      <w:r>
        <w:rPr>
          <w:rFonts w:ascii="Times New Roman" w:hAnsi="Times New Roman"/>
          <w:i w:val="0"/>
          <w:sz w:val="18"/>
        </w:rPr>
        <w:t>Ciento treinta y un artículos (100.0 %; [3]–[133]) respondieron a los diseños metodológicos y datasets (PD3), identificándose un predominio estructural de experimentos controlados sobre benchmarks públicos (62.6 %; 82 estudios) frente a una baja proporción de casos reales corporativos (6.1 %; 8 estudios) (TABLA XVI, Fig. 4).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2) Desarrollo por Categoría y Cruce Matricial: </w:t>
      </w:r>
      <w:r>
        <w:rPr>
          <w:rFonts w:ascii="Times New Roman" w:hAnsi="Times New Roman"/>
          <w:i w:val="0"/>
          <w:sz w:val="18"/>
        </w:rPr>
        <w:t>La distribución comprende 82 experimentos controlados (48 públicos, 18 privados y 16 mixtos), 31 desarrollos de artefacto / PoC (23.7 %), 10 estudios cuasi-experimentales (7.6 %) y 8 casos de estudio reales en producción (6.1 %).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3) Contrastes y Vacíos en Casos de Estudio Reales: </w:t>
      </w:r>
      <w:r>
        <w:rPr>
          <w:rFonts w:ascii="Times New Roman" w:hAnsi="Times New Roman"/>
          <w:i w:val="0"/>
          <w:sz w:val="18"/>
        </w:rPr>
        <w:t>El contraste más crítico reside en la escasez de casos de estudio en producción (8 estudios; 6.1 %; [64], [70], [75], [84], [103], [117], [127], [131]), donde emergen barreras operativas no presentes en laboratorio: confidencialidad financiera, necesidad de Human-in-the-Loop y rigidez de integración con ERPs legados.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4) Cierre, Madurez y Sensibilidad: </w:t>
      </w:r>
      <w:r>
        <w:rPr>
          <w:rFonts w:ascii="Times New Roman" w:hAnsi="Times New Roman"/>
          <w:i w:val="0"/>
          <w:sz w:val="18"/>
        </w:rPr>
        <w:t>Al excluir los 10 estudios de calidad moderada (QA = 3.5), los experimentos controlados se consolidaron en el 65.3 % (79 de 121), ratificando la robustez de la base empírica de laboratorio.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97D"/>
          <w:sz w:val="20"/>
        </w:rPr>
        <w:t>E. Evaluación de Calidad Metodológica (QA) e Integración al Análisis (Paso 6)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i w:val="0"/>
          <w:sz w:val="18"/>
        </w:rPr>
        <w:t>Para jerarquizar la evidencia y preparar el análisis de sensibilidad, se evaluó el corpus bajo el protocolo de Kitchenham &amp; Charters (2007) [1] (QA1 a QA5). El doble ciego sobre el 20.6 % (n = 27) reportó un Kappa ponderado cuadrático κw = 0.89. Los resultados se detallan en la TABLA XVII y la Fig. 5.</w:t>
      </w:r>
    </w:p>
    <w:p>
      <w:pPr>
        <w:keepNext/>
        <w:spacing w:before="160" w:after="40"/>
        <w:jc w:val="center"/>
      </w:pPr>
      <w:r>
        <w:rPr>
          <w:rFonts w:ascii="Times New Roman" w:hAnsi="Times New Roman"/>
          <w:b/>
          <w:sz w:val="17"/>
        </w:rPr>
        <w:t>TABLA XVII</w:t>
        <w:br/>
      </w:r>
      <w:r>
        <w:rPr>
          <w:rFonts w:ascii="Times New Roman" w:hAnsi="Times New Roman"/>
          <w:b/>
          <w:sz w:val="17"/>
        </w:rPr>
        <w:t>ESTRATIFICACIÓN DE CALIDAD METODOLÓGICA (QA) Y ANÁLISIS DE CUMPLIMIENTO POR CRITERIO (N = 131)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2592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Nivel de Calidad Metodológica</w:t>
            </w:r>
          </w:p>
        </w:tc>
        <w:tc>
          <w:tcPr>
            <w:tcW w:type="dxa" w:w="1584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Rango de Puntaje (Máx. 5.0)</w:t>
            </w:r>
          </w:p>
        </w:tc>
        <w:tc>
          <w:tcPr>
            <w:tcW w:type="dxa" w:w="1152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Estudios en Corpus [n]</w:t>
            </w:r>
          </w:p>
        </w:tc>
        <w:tc>
          <w:tcPr>
            <w:tcW w:type="dxa" w:w="1152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Frecuencia Relativa (%)</w:t>
            </w:r>
          </w:p>
        </w:tc>
        <w:tc>
          <w:tcPr>
            <w:tcW w:type="dxa" w:w="3888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Función Metodológica en la Síntesis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Calidad Alta</w:t>
            </w:r>
          </w:p>
        </w:tc>
        <w:tc>
          <w:tcPr>
            <w:tcW w:type="dxa" w:w="158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4.5 – 5.0 pts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108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82.4 %</w:t>
            </w:r>
          </w:p>
        </w:tc>
        <w:tc>
          <w:tcPr>
            <w:tcW w:type="dxa" w:w="388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Núcleo empírico robusto para extracción y síntesis temática (PI1–PI4). Incluye los 4 estudios nucleares con puntaje perfecto de 5.0 / 5.0 ([3], [4], [5], [6]).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Calidad Media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4.0 pts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13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9.9 %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Estudios con cumplimientos parciales menores; retenidos en análisis de sensibilidad.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Calidad Moderada / Estrato Inferior*</w:t>
            </w:r>
          </w:p>
        </w:tc>
        <w:tc>
          <w:tcPr>
            <w:tcW w:type="dxa" w:w="158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3.5 pts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7.6 %</w:t>
            </w:r>
          </w:p>
        </w:tc>
        <w:tc>
          <w:tcPr>
            <w:tcW w:type="dxa" w:w="388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Grupo de exclusión temporal en Análisis de Sensibilidad (Paso 8): [116], [117], [118], [121], [122], [123], [127], [128], [132], [133].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Total Corpus Primario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Media = 4.61 / 5.00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131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100.0 %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Mínimo registrado: 3.50 pts; Máximo: 5.00 pts; Desviación estándar: ±0.41 pts.</w:t>
            </w:r>
          </w:p>
        </w:tc>
      </w:tr>
    </w:tbl>
    <w:p>
      <w:pPr>
        <w:spacing w:before="40" w:after="120"/>
        <w:jc w:val="left"/>
      </w:pPr>
      <w:r>
        <w:rPr>
          <w:rFonts w:ascii="Times New Roman" w:hAnsi="Times New Roman"/>
          <w:i/>
          <w:sz w:val="15"/>
        </w:rPr>
        <w:t>* Nota: El estrato de 3.5 pts conforma la submuestra de prueba para el análisis de robustez de hallazgos. Ningún estudio incluido obtuvo calificación menor a 3.5 pts. Fuente: elaboración propia a partir del corpus primario [3]–[133].</w:t>
      </w:r>
    </w:p>
    <w:p>
      <w:pPr>
        <w:keepNext/>
        <w:spacing w:before="160" w:after="40"/>
        <w:jc w:val="center"/>
      </w:pPr>
      <w:r>
        <w:rPr>
          <w:rFonts w:ascii="Times New Roman" w:hAnsi="Times New Roman"/>
          <w:b/>
          <w:sz w:val="17"/>
        </w:rPr>
        <w:t>TABLA XVII (CONTINUACIÓN)</w:t>
        <w:br/>
      </w:r>
      <w:r>
        <w:rPr>
          <w:rFonts w:ascii="Times New Roman" w:hAnsi="Times New Roman"/>
          <w:b/>
          <w:sz w:val="17"/>
        </w:rPr>
        <w:t>ANÁLISIS DESAGREGADO DE CUMPLIMIENTO POR PREGUNTA QA (N = 131)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3600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Criterio QA Evaluado</w:t>
            </w:r>
          </w:p>
        </w:tc>
        <w:tc>
          <w:tcPr>
            <w:tcW w:type="dxa" w:w="1728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Cumplimiento Total (1.0 pt)</w:t>
            </w:r>
          </w:p>
        </w:tc>
        <w:tc>
          <w:tcPr>
            <w:tcW w:type="dxa" w:w="1728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Cumplimiento Parcial (0.5 pt)</w:t>
            </w:r>
          </w:p>
        </w:tc>
        <w:tc>
          <w:tcPr>
            <w:tcW w:type="dxa" w:w="1584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Incumplimiento (0.0 pt)</w:t>
            </w:r>
          </w:p>
        </w:tc>
        <w:tc>
          <w:tcPr>
            <w:tcW w:type="dxa" w:w="1728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Media por Criterio (sobre 1.0)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QA1 (Objetivos y tipología documental definida)</w:t>
            </w:r>
          </w:p>
        </w:tc>
        <w:tc>
          <w:tcPr>
            <w:tcW w:type="dxa" w:w="172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131 (100.0 %)</w:t>
            </w:r>
          </w:p>
        </w:tc>
        <w:tc>
          <w:tcPr>
            <w:tcW w:type="dxa" w:w="172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 (0.0 %)</w:t>
            </w:r>
          </w:p>
        </w:tc>
        <w:tc>
          <w:tcPr>
            <w:tcW w:type="dxa" w:w="158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 (0.0 %)</w:t>
            </w:r>
          </w:p>
        </w:tc>
        <w:tc>
          <w:tcPr>
            <w:tcW w:type="dxa" w:w="172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1.000 / 1.0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QA2 (Detalle del dataset, volumen y particiones)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125 (95.4 %)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6 (4.6 %)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 (0.0 %)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0.977 / 1.0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QA3 (Arquitectura reproducible y código documentado)</w:t>
            </w:r>
          </w:p>
        </w:tc>
        <w:tc>
          <w:tcPr>
            <w:tcW w:type="dxa" w:w="172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99 (75.6 %)</w:t>
            </w:r>
          </w:p>
        </w:tc>
        <w:tc>
          <w:tcPr>
            <w:tcW w:type="dxa" w:w="172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32 (24.4 %)</w:t>
            </w:r>
          </w:p>
        </w:tc>
        <w:tc>
          <w:tcPr>
            <w:tcW w:type="dxa" w:w="158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 (0.0 %)</w:t>
            </w:r>
          </w:p>
        </w:tc>
        <w:tc>
          <w:tcPr>
            <w:tcW w:type="dxa" w:w="172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0.878 / 1.0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QA4 (Métricas cuantitativas formales reproducibles)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108 (82.4 %)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23 (17.6 %)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 (0.0 %)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0.912 / 1.0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QA5 (Contraste empírico vs baselines / tradicional)</w:t>
            </w:r>
          </w:p>
        </w:tc>
        <w:tc>
          <w:tcPr>
            <w:tcW w:type="dxa" w:w="172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89 (67.9 %)</w:t>
            </w:r>
          </w:p>
        </w:tc>
        <w:tc>
          <w:tcPr>
            <w:tcW w:type="dxa" w:w="172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42 (32.1 %)</w:t>
            </w:r>
          </w:p>
        </w:tc>
        <w:tc>
          <w:tcPr>
            <w:tcW w:type="dxa" w:w="158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 (0.0 %)</w:t>
            </w:r>
          </w:p>
        </w:tc>
        <w:tc>
          <w:tcPr>
            <w:tcW w:type="dxa" w:w="172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0.840 / 1.0</w:t>
            </w:r>
          </w:p>
        </w:tc>
      </w:tr>
    </w:tbl>
    <w:p>
      <w:pPr>
        <w:spacing w:before="40" w:after="120"/>
        <w:jc w:val="left"/>
      </w:pPr>
      <w:r>
        <w:rPr>
          <w:rFonts w:ascii="Times New Roman" w:hAnsi="Times New Roman"/>
          <w:i/>
          <w:sz w:val="15"/>
        </w:rPr>
        <w:t>Fuente: elaboración propia a partir del corpus primario [3]–[133].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36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istribucion_qa_criter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both"/>
      </w:pPr>
      <w:r>
        <w:rPr>
          <w:rFonts w:ascii="Times New Roman" w:hAnsi="Times New Roman"/>
          <w:b/>
          <w:sz w:val="16"/>
        </w:rPr>
        <w:t xml:space="preserve">Fig. 5. </w:t>
      </w:r>
      <w:r>
        <w:rPr>
          <w:rFonts w:ascii="Times New Roman" w:hAnsi="Times New Roman"/>
          <w:b/>
          <w:sz w:val="16"/>
        </w:rPr>
        <w:t xml:space="preserve">Evaluación de Calidad Metodológica (Kitchenham &amp; Charters [1]) y vulnerabilidad por criterio (N = 131). </w:t>
      </w:r>
      <w:r>
        <w:rPr>
          <w:rFonts w:ascii="Times New Roman" w:hAnsi="Times New Roman"/>
          <w:i/>
          <w:sz w:val="16"/>
        </w:rPr>
        <w:t>(a) Estratificación de estudios según calidad; (b) Desglose de cumplimiento total vs. parcial en QA1–QA5. Fuente: elaboración propia a partir del corpus primario [3]–[133].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Hallazgos del Control de Calidad y Protocolo de Aislamiento: </w:t>
      </w:r>
      <w:r>
        <w:rPr>
          <w:rFonts w:ascii="Times New Roman" w:hAnsi="Times New Roman"/>
          <w:i w:val="0"/>
          <w:sz w:val="18"/>
        </w:rPr>
        <w:t>La calidad global es sobresaliente (media = 4.61 / 5.00 pts; 82.4 % en calidad alta). QA1 (1.000) y QA2 (0.977) exhibieron cumplimiento óptimo. El criterio más vulnerable fue QA5 (contraste empírico frente a baselines tradicionales), con cumplimiento parcial en 42 estudios (32.1 %; media 0.840), seguido de QA3 (reproducibilidad de arquitectura e hiperparámetros) con 32 cumplimientos parciales (24.4 %; media 0.878). Los 10 estudios con QA = 3.50 pts ([116], [117], [118], [121], [122], [123], [127], [128], [132], [133]) conforman el subconjunto de prueba para el análisis de robustez.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97D"/>
          <w:sz w:val="20"/>
        </w:rPr>
        <w:t>F. Taxonomía de Familias Algorítmicas y Enfoques de IA (PI1)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i w:val="0"/>
          <w:sz w:val="18"/>
        </w:rPr>
        <w:t>Para responder a PI1, se aplicó síntesis temática (Thomas &amp; Harden [134]; Cruzes &amp; Dybå [135]) sobre los 105 estudios con PI1 = 1 (80.2 % del corpus). Los resultados se sintetizan en la TABLA XVIII y la Fig. 6.</w:t>
      </w:r>
    </w:p>
    <w:p>
      <w:pPr>
        <w:keepNext/>
        <w:spacing w:before="160" w:after="40"/>
        <w:jc w:val="center"/>
      </w:pPr>
      <w:r>
        <w:rPr>
          <w:rFonts w:ascii="Times New Roman" w:hAnsi="Times New Roman"/>
          <w:b/>
          <w:sz w:val="17"/>
        </w:rPr>
        <w:t>TABLA XVIII</w:t>
        <w:br/>
      </w:r>
      <w:r>
        <w:rPr>
          <w:rFonts w:ascii="Times New Roman" w:hAnsi="Times New Roman"/>
          <w:b/>
          <w:sz w:val="17"/>
        </w:rPr>
        <w:t>TAXONOMÍA DE FAMILIAS ALGORÍTMICAS Y ENFOQUES DE INTELIGENCIA ARTIFICIAL (PI1) (N = 105)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2592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Familia Algorítmica / Enfoque IA</w:t>
            </w:r>
          </w:p>
        </w:tc>
        <w:tc>
          <w:tcPr>
            <w:tcW w:type="dxa" w:w="3168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Descripción Técnica Estandarizada</w:t>
            </w:r>
          </w:p>
        </w:tc>
        <w:tc>
          <w:tcPr>
            <w:tcW w:type="dxa" w:w="2592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Estudios Primarios Asignados [n]</w:t>
            </w:r>
          </w:p>
        </w:tc>
        <w:tc>
          <w:tcPr>
            <w:tcW w:type="dxa" w:w="864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Estudios (n)</w:t>
            </w:r>
          </w:p>
        </w:tc>
        <w:tc>
          <w:tcPr>
            <w:tcW w:type="dxa" w:w="1152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% Relativo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Pipelines Híbridos CNN-RNN y Segmentación con OCR</w:t>
            </w:r>
          </w:p>
        </w:tc>
        <w:tc>
          <w:tcPr>
            <w:tcW w:type="dxa" w:w="316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Modelos convolucionales (ResNet, VGG, YOLO, Mask R-CNN) combinados con recurrentes y motores OCR para detección de regiones y tablas.</w:t>
            </w:r>
          </w:p>
        </w:tc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[5], [10]–[12], [14]–[16], [20], [23], [28], [31]–[33], [35], [39], [45], [48], [49], [53]–[55], [57]–[62], [67]–[73], [78], [83]–[85], [88], [91], [93], [95], [98]–[100], [103], [104], [106], [108]–[111], [117], [118], [122], [124]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56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53.3 %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Transformers Multimodales y Visión-Lenguaje (VLM)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Modelado conjunto de texto, coordenadas 2D (bounding boxes) y parches visuales (LayoutLMv2/v3, StrucTexT, BROS, Bi-VLDoc).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[6], [7], [9], [13], [18], [21], [26], [30], [36], [38], [42], [43], [47], [50], [56], [74], [76], [77], [90], [92], [96], [114]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22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21.0 %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Redes Neuronales de Grafos y Modelado Espacial (GNN)</w:t>
            </w:r>
          </w:p>
        </w:tc>
        <w:tc>
          <w:tcPr>
            <w:tcW w:type="dxa" w:w="316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Representación de palabras/bloques como nodos y relaciones geométricas relativas como aristas (GCN, GAT, GraphIE).</w:t>
            </w:r>
          </w:p>
        </w:tc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[8], [29], [34], [40], [41], [44], [46], [51], [52], [63], [64], [66], [75], [105], [107], [123]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15.2 %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Modelos Generativos, LLMs y Zero/Few-Shot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Modelos fundacionales autorregresivos aplicados con prompt engineering, in-context learning o fine-tuning para extracción estructurada JSON.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[3], [4], [17], [19], [22], [24], [25], [27], [37], [65], [82]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11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10.5 %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Total Cobertura PI1</w:t>
            </w:r>
          </w:p>
        </w:tc>
        <w:tc>
          <w:tcPr>
            <w:tcW w:type="dxa" w:w="316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Subconjunto verificado de estudios con PI1 = 1</w:t>
            </w:r>
          </w:p>
        </w:tc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[3]–[124] (105 estudios únicos)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105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100.0 %</w:t>
            </w:r>
          </w:p>
        </w:tc>
      </w:tr>
    </w:tbl>
    <w:p>
      <w:pPr>
        <w:spacing w:before="40" w:after="120"/>
        <w:jc w:val="left"/>
      </w:pPr>
      <w:r>
        <w:rPr>
          <w:rFonts w:ascii="Times New Roman" w:hAnsi="Times New Roman"/>
          <w:i/>
          <w:sz w:val="15"/>
        </w:rPr>
        <w:t>Fuente: elaboración propia a partir del corpus primario [3]–[133]. Partición temática unívoca auditada y verificada.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969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axonomia_algoritm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both"/>
      </w:pPr>
      <w:r>
        <w:rPr>
          <w:rFonts w:ascii="Times New Roman" w:hAnsi="Times New Roman"/>
          <w:b/>
          <w:sz w:val="16"/>
        </w:rPr>
        <w:t xml:space="preserve">Fig. 6. </w:t>
      </w:r>
      <w:r>
        <w:rPr>
          <w:rFonts w:ascii="Times New Roman" w:hAnsi="Times New Roman"/>
          <w:b/>
          <w:sz w:val="16"/>
        </w:rPr>
        <w:t xml:space="preserve">Taxonomía de Familias Algorítmicas de IA en Procesamiento Documental (PI1, n = 105). </w:t>
      </w:r>
      <w:r>
        <w:rPr>
          <w:rFonts w:ascii="Times New Roman" w:hAnsi="Times New Roman"/>
          <w:i/>
          <w:sz w:val="16"/>
        </w:rPr>
        <w:t>Frecuencia absoluta y porcentaje relativo derivado de síntesis temática [134], [135]. Fuente: elaboración propia a partir del corpus primario [3]–[133].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1) Apertura (Respuesta a PI1): </w:t>
      </w:r>
      <w:r>
        <w:rPr>
          <w:rFonts w:ascii="Times New Roman" w:hAnsi="Times New Roman"/>
          <w:i w:val="0"/>
          <w:sz w:val="18"/>
        </w:rPr>
        <w:t>Ciento cinco estudios primarios (80.2 % del corpus; TABLA XVIII, Fig. 6) respondieron a la taxonomía de arquitecturas IA/IDP (PI1). Mediante síntesis temática se identificaron cuatro familias algorítmicas mutuamente excluyentes, destacando el predominio de pipelines modulares CNN-RNN con OCR neuronal (53.3 %) y la rápida consolidación de Transformers multimodales y VLMs (21.0 %).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2) Desarrollo por Categoría Algorítmica: </w:t>
      </w:r>
      <w:r>
        <w:rPr>
          <w:rFonts w:ascii="Times New Roman" w:hAnsi="Times New Roman"/>
          <w:i w:val="0"/>
          <w:sz w:val="18"/>
        </w:rPr>
        <w:t>La distribución comprende: a) Pipelines Híbridos CNN-RNN (56 estudios; 53.3 %; 82.1 % calidad alta; CERQual alta); b) Transformers Multimodales y VLMs (22 estudios; 21.0 %; 86.4 % calidad alta; CERQual alta); c) Redes Neuronales de Grafos GNN (16 estudios; 15.2 %; 81.3 % calidad alta; CERQual alta); y d) Modelos Generativos y LLMs (11 estudios; 10.5 %; 90.9 % calidad alta; CERQual moderada por costo computacional).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3) Contrastes y Debates de Rendimiento: </w:t>
      </w:r>
      <w:r>
        <w:rPr>
          <w:rFonts w:ascii="Times New Roman" w:hAnsi="Times New Roman"/>
          <w:i w:val="0"/>
          <w:sz w:val="18"/>
        </w:rPr>
        <w:t>Existe una marcada divergencia entre latencia y adaptabilidad: los pipelines CNN-RNN ofrecen inferencias ultrarrápidas (&lt;150 ms) pero son frágiles ante cambios de formato, mientras que Transformers y LLMs absorben deformaciones visuales pero requieren aceleración GPU y presentan riesgo de alucinación numérica en montos contables.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4) Cierre, Tendencias y Sensibilidad: </w:t>
      </w:r>
      <w:r>
        <w:rPr>
          <w:rFonts w:ascii="Times New Roman" w:hAnsi="Times New Roman"/>
          <w:i w:val="0"/>
          <w:sz w:val="18"/>
        </w:rPr>
        <w:t>Al excluir del análisis los 4 estudios con QA = 3.5 en PI1 ([117], [118], [122], [124]), los pipelines híbridos representaron el 51.5 % (52 de 101) y los Transformers/VLMs el 21.8 % (22 de 101), demostrando la estabilidad de la taxonomía.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97D"/>
          <w:sz w:val="20"/>
        </w:rPr>
        <w:t>G. Rendimiento Cuantitativo de las Soluciones IA en Benchmarks (PI2)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i w:val="0"/>
          <w:sz w:val="18"/>
        </w:rPr>
        <w:t>Para responder a PI2, se aplicó la síntesis narrativa estructurada de Popay et al. (2006) [136] sobre los 117 estudios con PI2 = 1 (89.3 % del corpus). Se reportan rangos empíricos [mín, máx] y medianas sin promediar métricas entre conjuntos de datos incompatibles (TABLA XIX, Fig. 7).</w:t>
      </w:r>
    </w:p>
    <w:p>
      <w:pPr>
        <w:keepNext/>
        <w:spacing w:before="160" w:after="40"/>
        <w:jc w:val="center"/>
      </w:pPr>
      <w:r>
        <w:rPr>
          <w:rFonts w:ascii="Times New Roman" w:hAnsi="Times New Roman"/>
          <w:b/>
          <w:sz w:val="17"/>
        </w:rPr>
        <w:t>TABLA XIX</w:t>
        <w:br/>
      </w:r>
      <w:r>
        <w:rPr>
          <w:rFonts w:ascii="Times New Roman" w:hAnsi="Times New Roman"/>
          <w:b/>
          <w:sz w:val="17"/>
        </w:rPr>
        <w:t>RENDIMIENTO CUANTITATIVO REPORTADO POR BENCHMARKS ESTÁNDAR Y TIPOLOGÍA DE DATOS (PI2) (N = 117)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2160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Benchmark / Tipología de Datos</w:t>
            </w:r>
          </w:p>
        </w:tc>
        <w:tc>
          <w:tcPr>
            <w:tcW w:type="dxa" w:w="1872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Dimensión Documental</w:t>
            </w:r>
          </w:p>
        </w:tc>
        <w:tc>
          <w:tcPr>
            <w:tcW w:type="dxa" w:w="2304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Estudios [n]</w:t>
            </w:r>
          </w:p>
        </w:tc>
        <w:tc>
          <w:tcPr>
            <w:tcW w:type="dxa" w:w="864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Métrica</w:t>
            </w:r>
          </w:p>
        </w:tc>
        <w:tc>
          <w:tcPr>
            <w:tcW w:type="dxa" w:w="1152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Rango [mín, máx]</w:t>
            </w:r>
          </w:p>
        </w:tc>
        <w:tc>
          <w:tcPr>
            <w:tcW w:type="dxa" w:w="720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Mediana</w:t>
            </w:r>
          </w:p>
        </w:tc>
        <w:tc>
          <w:tcPr>
            <w:tcW w:type="dxa" w:w="1296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Latencia Inferencia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SROIE / CORD / Recibos Comerciales</w:t>
            </w:r>
          </w:p>
        </w:tc>
        <w:tc>
          <w:tcPr>
            <w:tcW w:type="dxa" w:w="187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Extracción de claves en recibos y facturas (Company, Date, Address, Total).</w:t>
            </w:r>
          </w:p>
        </w:tc>
        <w:tc>
          <w:tcPr>
            <w:tcW w:type="dxa" w:w="230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48 estudios</w:t>
              <w:br/>
              <w:t>[4], [6], [7], [9], [15], [17], [20], [24], [28], [30], [34], [36]–[40], [43], [44], [49], [55], [57], [60], [64], [69], [72], [74], [75], [79], [82]–[84], [86], [88]–[91], [96], [97], [99], [100], [102], [107]–[109], [112], [115], [119], [129]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F1-score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86.4 % – 98.7 %</w:t>
            </w:r>
          </w:p>
        </w:tc>
        <w:tc>
          <w:tcPr>
            <w:tcW w:type="dxa" w:w="72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95.2 %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80 ms – 450 ms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FinTabNet / WTW / Tablas Financieras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Reconocimiento de estructura tabular (TSR), detección de celdas y filas anidadas.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42 estudios</w:t>
              <w:br/>
              <w:t>[3], [5], [8], [10]–[13], [16], [19], [25], [27], [31], [33], [35], [41], [45]–[48], [50]–[52], [54], [59], [61], [62], [65], [66], [71], [81], [87], [95], [101], [104]–[106], [113], [120], [125], [126], [130], [131]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TEDS / F1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76.5 % – 96.2 %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89.8 %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150 ms – 890 ms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FUNSD / Formularios Ruidosos</w:t>
            </w:r>
          </w:p>
        </w:tc>
        <w:tc>
          <w:tcPr>
            <w:tcW w:type="dxa" w:w="187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Comprensión de formularios administrativos con ruido visual y sellos superpuestos.</w:t>
            </w:r>
          </w:p>
        </w:tc>
        <w:tc>
          <w:tcPr>
            <w:tcW w:type="dxa" w:w="230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21 estudios</w:t>
              <w:br/>
              <w:t>[14], [18], [21]–[23], [26], [29], [42], [53], [56], [58], [63], [67], [68], [70], [73], [77], [80], [92], [94], [114]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F1-score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72.1 % – 93.8 %</w:t>
            </w:r>
          </w:p>
        </w:tc>
        <w:tc>
          <w:tcPr>
            <w:tcW w:type="dxa" w:w="72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84.5 %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120 ms – 680 ms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Flujos Corporativos Integrados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Validación sobre lotes continuos de documentos heterogéneos mixtos.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6 estudios</w:t>
              <w:br/>
              <w:t>[32], [78], [85], [93], [110], [111]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Exactitud / F1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82.0 % – 94.5 %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90.1 %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300 ms – 1800 ms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Total Cobertura PI2</w:t>
            </w:r>
          </w:p>
        </w:tc>
        <w:tc>
          <w:tcPr>
            <w:tcW w:type="dxa" w:w="187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Subconjunto verificado de estudios con PI2 = 1</w:t>
            </w:r>
          </w:p>
        </w:tc>
        <w:tc>
          <w:tcPr>
            <w:tcW w:type="dxa" w:w="230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[3]–[131] (117 estudios únicos)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—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72.1 % – 98.7 %</w:t>
            </w:r>
          </w:p>
        </w:tc>
        <w:tc>
          <w:tcPr>
            <w:tcW w:type="dxa" w:w="72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—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—</w:t>
            </w:r>
          </w:p>
        </w:tc>
      </w:tr>
    </w:tbl>
    <w:p>
      <w:pPr>
        <w:spacing w:before="40" w:after="120"/>
        <w:jc w:val="left"/>
      </w:pPr>
      <w:r>
        <w:rPr>
          <w:rFonts w:ascii="Times New Roman" w:hAnsi="Times New Roman"/>
          <w:i/>
          <w:sz w:val="15"/>
        </w:rPr>
        <w:t>Fuente: elaboración propia a partir del corpus primario [3]–[133]. Síntesis estructurada Popay et al. [136].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rendimiento_benchmar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both"/>
      </w:pPr>
      <w:r>
        <w:rPr>
          <w:rFonts w:ascii="Times New Roman" w:hAnsi="Times New Roman"/>
          <w:b/>
          <w:sz w:val="16"/>
        </w:rPr>
        <w:t xml:space="preserve">Fig. 7. </w:t>
      </w:r>
      <w:r>
        <w:rPr>
          <w:rFonts w:ascii="Times New Roman" w:hAnsi="Times New Roman"/>
          <w:b/>
          <w:sz w:val="16"/>
        </w:rPr>
        <w:t xml:space="preserve">Distribución Empírica de Rendimiento por Benchmark (Síntesis de Popay, PI2, n = 117). </w:t>
      </w:r>
      <w:r>
        <w:rPr>
          <w:rFonts w:ascii="Times New Roman" w:hAnsi="Times New Roman"/>
          <w:i/>
          <w:sz w:val="16"/>
        </w:rPr>
        <w:t>Cajas: rango intercuartil (Q1–Q3); línea roja: mediana empírica; líneas grises: dispersión total [mín, máx]. Fuente: elaboración propia a partir del corpus primario [3]–[133].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1) Apertura (Respuesta a PI2): </w:t>
      </w:r>
      <w:r>
        <w:rPr>
          <w:rFonts w:ascii="Times New Roman" w:hAnsi="Times New Roman"/>
          <w:i w:val="0"/>
          <w:sz w:val="18"/>
        </w:rPr>
        <w:t>Ciento diecisiete estudios (89.3 % del corpus; TABLA XIX, Fig. 7) reportaron métricas cuantitativas sobre el rendimiento de soluciones IA (PI2). El rango empírico de F1-score osciló entre 72.1 % y 98.7 %, con desempeños marcadamente superiores en recibos y facturas estándar (mediana 95.2 %) frente a tablas complejas (89.8 %) y formularios degradados (84.5 %).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2) Desarrollo por Benchmark y Dispersión: </w:t>
      </w:r>
      <w:r>
        <w:rPr>
          <w:rFonts w:ascii="Times New Roman" w:hAnsi="Times New Roman"/>
          <w:i w:val="0"/>
          <w:sz w:val="18"/>
        </w:rPr>
        <w:t>En recibos (48 estudios), la mediana de F1-score alcanzó 95.2 % (latencias 80–450 ms; CERQual alta). En tablas financieras (42 estudios), la mediana de TEDS/F1 fue 89.8 % (latencias 150–890 ms; CERQual alta para tablas con bordes). En formularios ruidosos FUNSD (21 estudios), la mediana descendió a 84.5 % por sellos y caligrafía superpuesta (CERQual moderada).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3) Contrastes y Discrepancias Métricas: </w:t>
      </w:r>
      <w:r>
        <w:rPr>
          <w:rFonts w:ascii="Times New Roman" w:hAnsi="Times New Roman"/>
          <w:i w:val="0"/>
          <w:sz w:val="18"/>
        </w:rPr>
        <w:t>Existe una brecha sistemática entre pruebas en benchmarks abiertos (&gt;97 % F1 en SROIE) y lotes corporativos degradados (donde la precisión decae hasta 78.4 %), evidenciando que los benchmarks sobrestiman la exactitud frente a documentos reales arrugados o térmicos.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4) Cierre, Madurez y Sensibilidad: </w:t>
      </w:r>
      <w:r>
        <w:rPr>
          <w:rFonts w:ascii="Times New Roman" w:hAnsi="Times New Roman"/>
          <w:i w:val="0"/>
          <w:sz w:val="18"/>
        </w:rPr>
        <w:t>Al excluir estudios de calidad inferior retenidos en PI2, la mediana de F1 en facturación se mantuvo prácticamente idéntica en 95.4 % (+0.2 %), demostrando la solidez del desempeño técnico.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97D"/>
          <w:sz w:val="20"/>
        </w:rPr>
        <w:t>H. Comparativa de Eficiencia vs. Métodos Tradicionales — Síntesis SWiM (PI3)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i w:val="0"/>
          <w:sz w:val="18"/>
        </w:rPr>
        <w:t>Para evaluar si la IA supera al ingreso manual y al OCR convencional, se implementó el método SWiM (Campbell et al. [137]) mediante conteo de votos sobre los 82 estudios que incorporan un comparador explícito (62.6 % del corpus). Los resultados se compendian en la TABLA XX y la Fig. 8.</w:t>
      </w:r>
    </w:p>
    <w:p>
      <w:pPr>
        <w:keepNext/>
        <w:spacing w:before="160" w:after="40"/>
        <w:jc w:val="center"/>
      </w:pPr>
      <w:r>
        <w:rPr>
          <w:rFonts w:ascii="Times New Roman" w:hAnsi="Times New Roman"/>
          <w:b/>
          <w:sz w:val="17"/>
        </w:rPr>
        <w:t>TABLA XX</w:t>
        <w:br/>
      </w:r>
      <w:r>
        <w:rPr>
          <w:rFonts w:ascii="Times New Roman" w:hAnsi="Times New Roman"/>
          <w:b/>
          <w:sz w:val="17"/>
        </w:rPr>
        <w:t>SÍNTESIS SWIM: CONTEO DE VOTOS DE DIRECCIÓN DEL EFECTO FRENTE A LÍNEAS BASE TRADICIONALES (PI3) (N = 82)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2160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Dimensión Operativa</w:t>
            </w:r>
          </w:p>
        </w:tc>
        <w:tc>
          <w:tcPr>
            <w:tcW w:type="dxa" w:w="1584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Dirección del Efecto</w:t>
            </w:r>
          </w:p>
        </w:tc>
        <w:tc>
          <w:tcPr>
            <w:tcW w:type="dxa" w:w="2592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Criterio Empírico de Clasificación</w:t>
            </w:r>
          </w:p>
        </w:tc>
        <w:tc>
          <w:tcPr>
            <w:tcW w:type="dxa" w:w="2448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Estudios Primarios Asignados [n]</w:t>
            </w:r>
          </w:p>
        </w:tc>
        <w:tc>
          <w:tcPr>
            <w:tcW w:type="dxa" w:w="720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Votos (n)</w:t>
            </w:r>
          </w:p>
        </w:tc>
        <w:tc>
          <w:tcPr>
            <w:tcW w:type="dxa" w:w="864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% Relativo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Tiempo y Latencia de Ciclo</w:t>
            </w:r>
          </w:p>
        </w:tc>
        <w:tc>
          <w:tcPr>
            <w:tcW w:type="dxa" w:w="158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Mejora (+1)</w:t>
            </w:r>
          </w:p>
        </w:tc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Reducción de tiempo de ciclo &gt;= 60 % frente a digitación manual u OCR de plantillas.</w:t>
            </w:r>
          </w:p>
        </w:tc>
        <w:tc>
          <w:tcPr>
            <w:tcW w:type="dxa" w:w="244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[3]–[27], [29]–[36], [38]–[44], [46]–[53], [55], [57]–[63], [67], [76], [79]–[81], [87], [89], [94], [97], [101]–[103], [113], [116], [127]</w:t>
            </w:r>
          </w:p>
        </w:tc>
        <w:tc>
          <w:tcPr>
            <w:tcW w:type="dxa" w:w="72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71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86.6 %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Exactitud y Tasa de Error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Sin diferencia (0)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Paridad de exactitud o ganancia marginal &lt;= 2 % en documentos altamente estandarizados.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[28], [45], [54], [64], [86], [98], [112], [128]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9.8 %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Carga Operativa y Costo</w:t>
            </w:r>
          </w:p>
        </w:tc>
        <w:tc>
          <w:tcPr>
            <w:tcW w:type="dxa" w:w="158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Empeora (-1)</w:t>
            </w:r>
          </w:p>
        </w:tc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Mayor latencia o costo en hardware restringido (CPU pura); re-trabajo por alucinaciones.</w:t>
            </w:r>
          </w:p>
        </w:tc>
        <w:tc>
          <w:tcPr>
            <w:tcW w:type="dxa" w:w="244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[37], [56], [121]</w:t>
            </w:r>
          </w:p>
        </w:tc>
        <w:tc>
          <w:tcPr>
            <w:tcW w:type="dxa" w:w="72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3.7 %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Total Evidencia Comparativa PI3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—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Subconjunto verificado de estudios con PI3 = 1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[3]–[128] (82 estudios únicos)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82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100.0 %</w:t>
            </w:r>
          </w:p>
        </w:tc>
      </w:tr>
    </w:tbl>
    <w:p>
      <w:pPr>
        <w:spacing w:before="40" w:after="120"/>
        <w:jc w:val="left"/>
      </w:pPr>
      <w:r>
        <w:rPr>
          <w:rFonts w:ascii="Times New Roman" w:hAnsi="Times New Roman"/>
          <w:i/>
          <w:sz w:val="15"/>
        </w:rPr>
        <w:t>Fuente: elaboración propia a partir del corpus primario [3]–[133]. Conteo de votos estructurado según directrices SWiM [137].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969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swim_barras_divergen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both"/>
      </w:pPr>
      <w:r>
        <w:rPr>
          <w:rFonts w:ascii="Times New Roman" w:hAnsi="Times New Roman"/>
          <w:b/>
          <w:sz w:val="16"/>
        </w:rPr>
        <w:t xml:space="preserve">Fig. 8. </w:t>
      </w:r>
      <w:r>
        <w:rPr>
          <w:rFonts w:ascii="Times New Roman" w:hAnsi="Times New Roman"/>
          <w:b/>
          <w:sz w:val="16"/>
        </w:rPr>
        <w:t xml:space="preserve">Síntesis SWiM: Conteo de Votos de Efecto Frente a Métodos Tradicionales (PI3, n = 82). </w:t>
      </w:r>
      <w:r>
        <w:rPr>
          <w:rFonts w:ascii="Times New Roman" w:hAnsi="Times New Roman"/>
          <w:i/>
          <w:sz w:val="16"/>
        </w:rPr>
        <w:t>Gráfico de barras divergentes: Verde: Mejora (+1); Gris: Paridad (0); Rojo: Empeora/Ineficiencia (-1). Fuente: elaboración propia a partir del corpus primario [3]–[133].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1) Apertura (Respuesta a PI3): </w:t>
      </w:r>
      <w:r>
        <w:rPr>
          <w:rFonts w:ascii="Times New Roman" w:hAnsi="Times New Roman"/>
          <w:i w:val="0"/>
          <w:sz w:val="18"/>
        </w:rPr>
        <w:t>Ochenta y dos estudios primarios (62.6 %; TABLA XX, Fig. 8) contrastaron la IA/IDP frente a métodos tradicionales (PI3). Mediante SWiM se identificó un consenso abrumador en favor de la IA, con un 86.6 % de votos favorables (71 de 82 estudios) que reportan mejoras sustanciales en tiempo y exactitud.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2) Desarrollo por Dimensión y Conteo de Votos: </w:t>
      </w:r>
      <w:r>
        <w:rPr>
          <w:rFonts w:ascii="Times New Roman" w:hAnsi="Times New Roman"/>
          <w:i w:val="0"/>
          <w:sz w:val="18"/>
        </w:rPr>
        <w:t>Setenta y un estudios demostraron reducciones en tiempos de procesamiento de 24–72 horas a fracciones de segundo (&lt;1 s por página; CERQual alta). Ocho estudios (9.8 %) reportaron paridad en plantillas 100 % fijas, donde reglas sintácticas logran exactitudes similares con menor costo. Tres estudios (3.7 %) reportaron empeoramiento relativo en CPUs sin aceleración GPU o ante alucinaciones de modelos generativos.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3) Contrastes y Debates Operativos: </w:t>
      </w:r>
      <w:r>
        <w:rPr>
          <w:rFonts w:ascii="Times New Roman" w:hAnsi="Times New Roman"/>
          <w:i w:val="0"/>
          <w:sz w:val="18"/>
        </w:rPr>
        <w:t>El debate operativo se centra en el costo computacional: mientras la literatura académica destaca ahorros de tiempo del 90 %, los estudios corporativos advierten que el costo de GPUs y mantenimiento puede superar el ahorro laboral en volúmenes documentales bajos (&lt;5,000 mensuales).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4) Cierre, Tendencias y Sensibilidad: </w:t>
      </w:r>
      <w:r>
        <w:rPr>
          <w:rFonts w:ascii="Times New Roman" w:hAnsi="Times New Roman"/>
          <w:i w:val="0"/>
          <w:sz w:val="18"/>
        </w:rPr>
        <w:t>Al excluir del análisis los 4 estudios con QA = 3.5 en PI3 ([116], [121], [127], [128]), los votos favorables representaron el 88.5 % (69 de 78), confirmando la solidez de la conclusión comparativa.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97D"/>
          <w:sz w:val="20"/>
        </w:rPr>
        <w:t>I. Mapeo de Tipologías Documentales y Sistemas Corporativos ERP/CRM (PI4)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i w:val="0"/>
          <w:sz w:val="18"/>
        </w:rPr>
        <w:t>Para responder a PI4, se mapearon las tipologías documentales frente a las plataformas de gestión sobre la totalidad del corpus primario (N = 131; 100.0 %). La matriz cruzada se documenta en la TABLA XXI y la matriz de calor (heatmap) en la Fig. 9.</w:t>
      </w:r>
    </w:p>
    <w:p>
      <w:pPr>
        <w:keepNext/>
        <w:spacing w:before="160" w:after="40"/>
        <w:jc w:val="center"/>
      </w:pPr>
      <w:r>
        <w:rPr>
          <w:rFonts w:ascii="Times New Roman" w:hAnsi="Times New Roman"/>
          <w:b/>
          <w:sz w:val="17"/>
        </w:rPr>
        <w:t>TABLA XXI</w:t>
        <w:br/>
      </w:r>
      <w:r>
        <w:rPr>
          <w:rFonts w:ascii="Times New Roman" w:hAnsi="Times New Roman"/>
          <w:b/>
          <w:sz w:val="17"/>
        </w:rPr>
        <w:t>MAPEO DE TIPOLOGÍAS DOCUMENTALES Y SISTEMAS EMPRESARIALES DE INTEGRACIÓN (PI4) (N = 131)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2160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Tipología Documental</w:t>
            </w:r>
          </w:p>
        </w:tc>
        <w:tc>
          <w:tcPr>
            <w:tcW w:type="dxa" w:w="2016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Definición Operativa</w:t>
            </w:r>
          </w:p>
        </w:tc>
        <w:tc>
          <w:tcPr>
            <w:tcW w:type="dxa" w:w="2160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Plataformas Integradas / Mapeadas</w:t>
            </w:r>
          </w:p>
        </w:tc>
        <w:tc>
          <w:tcPr>
            <w:tcW w:type="dxa" w:w="2448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Estudios Primarios Indexados [n]</w:t>
            </w:r>
          </w:p>
        </w:tc>
        <w:tc>
          <w:tcPr>
            <w:tcW w:type="dxa" w:w="720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Estudios (n)</w:t>
            </w:r>
          </w:p>
        </w:tc>
        <w:tc>
          <w:tcPr>
            <w:tcW w:type="dxa" w:w="864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% Relativo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Balances y Tablas Financieras</w:t>
            </w:r>
          </w:p>
        </w:tc>
        <w:tc>
          <w:tcPr>
            <w:tcW w:type="dxa" w:w="201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Estructuras matriciales, estados de resultados y libros mayores contables.</w:t>
            </w:r>
          </w:p>
        </w:tc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Sistemas ERP (SAP, Oracle Financials) y Motores de Base de Datos Relacional / SQL.</w:t>
            </w:r>
          </w:p>
        </w:tc>
        <w:tc>
          <w:tcPr>
            <w:tcW w:type="dxa" w:w="244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[3], [5], [7], [8], [10]–[13], [16], [17], [19], [20], [23], [25], [27], [31], [33], [35], [36], [41], [42], [45]–[54], [57], [59], [61], [62], [65], [66], [68], [71], [74], [81], [87], [94], [95], [101], [103]–[106], [113], [120], [123], [124], [126]–[128], [130], [131], [133]</w:t>
            </w:r>
          </w:p>
        </w:tc>
        <w:tc>
          <w:tcPr>
            <w:tcW w:type="dxa" w:w="72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59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45.0 %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Facturas Comerciales y Fiscales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Facturas de compra/venta, comprobantes fiscales y facturas proforma.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Módulos Cuentas por Pagar en ERP (SAP S/4HANA, Dynamics 365, Odoo).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[4], [24], [28], [34], [38]–[40], [43], [44], [55], [60], [64], [69], [72], [75], [76], [86], [88]–[90], [96]–[100], [107]–[109], [112], [115], [119], [121], [129], [132]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34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26.0 %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Formularios y Expedientes Admin.</w:t>
            </w:r>
          </w:p>
        </w:tc>
        <w:tc>
          <w:tcPr>
            <w:tcW w:type="dxa" w:w="201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Formularios aduaneros, solicitudes de crédito, pólizas y notas de remisión.</w:t>
            </w:r>
          </w:p>
        </w:tc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Sistemas CRM (Salesforce) y Gestión Documental DMS (Alfresco, SharePoint).</w:t>
            </w:r>
          </w:p>
        </w:tc>
        <w:tc>
          <w:tcPr>
            <w:tcW w:type="dxa" w:w="244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[14], [18], [21], [22], [26], [29], [32], [56], [58], [63], [67], [70], [73], [77], [78], [80], [85], [92], [93], [110], [111], [114], [116]–[118], [122]</w:t>
            </w:r>
          </w:p>
        </w:tc>
        <w:tc>
          <w:tcPr>
            <w:tcW w:type="dxa" w:w="72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26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19.8 %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Recibos y Tickets POS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Tickets de gastos de viaje, recibos térmicos y tickets de caja chica.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Módulos Rendición de Gastos ERP y Sistemas POS (Point of Sale).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[6], [9], [15], [30], [37], [79], [82]–[84], [91], [102], [125]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12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9.2 %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Total Corpus Primario</w:t>
            </w:r>
          </w:p>
        </w:tc>
        <w:tc>
          <w:tcPr>
            <w:tcW w:type="dxa" w:w="201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—</w:t>
            </w:r>
          </w:p>
        </w:tc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—</w:t>
            </w:r>
          </w:p>
        </w:tc>
        <w:tc>
          <w:tcPr>
            <w:tcW w:type="dxa" w:w="2448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[3]–[133] (131 estudios únicos)</w:t>
            </w:r>
          </w:p>
        </w:tc>
        <w:tc>
          <w:tcPr>
            <w:tcW w:type="dxa" w:w="72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131</w:t>
            </w:r>
          </w:p>
        </w:tc>
        <w:tc>
          <w:tcPr>
            <w:tcW w:type="dxa" w:w="86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100.0 %</w:t>
            </w:r>
          </w:p>
        </w:tc>
      </w:tr>
    </w:tbl>
    <w:p>
      <w:pPr>
        <w:spacing w:before="40" w:after="120"/>
        <w:jc w:val="left"/>
      </w:pPr>
      <w:r>
        <w:rPr>
          <w:rFonts w:ascii="Times New Roman" w:hAnsi="Times New Roman"/>
          <w:i/>
          <w:sz w:val="15"/>
        </w:rPr>
        <w:t>Fuente: elaboración propia a partir del corpus primario [3]–[133].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heatmap_documentos_er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both"/>
      </w:pPr>
      <w:r>
        <w:rPr>
          <w:rFonts w:ascii="Times New Roman" w:hAnsi="Times New Roman"/>
          <w:b/>
          <w:sz w:val="16"/>
        </w:rPr>
        <w:t xml:space="preserve">Fig. 9. </w:t>
      </w:r>
      <w:r>
        <w:rPr>
          <w:rFonts w:ascii="Times New Roman" w:hAnsi="Times New Roman"/>
          <w:b/>
          <w:sz w:val="16"/>
        </w:rPr>
        <w:t xml:space="preserve">Mapeo Cruzado: Tipología Documental × Plataforma Empresarial (PI4, N = 131). </w:t>
      </w:r>
      <w:r>
        <w:rPr>
          <w:rFonts w:ascii="Times New Roman" w:hAnsi="Times New Roman"/>
          <w:i/>
          <w:sz w:val="16"/>
        </w:rPr>
        <w:t>Matriz de calor que representa la frecuencia de estudios primarios mapeados. Fuente: elaboración propia a partir del corpus primario [3]–[133].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1) Apertura (Respuesta a PI4): </w:t>
      </w:r>
      <w:r>
        <w:rPr>
          <w:rFonts w:ascii="Times New Roman" w:hAnsi="Times New Roman"/>
          <w:i w:val="0"/>
          <w:sz w:val="18"/>
        </w:rPr>
        <w:t>Ciento treinta y un artículos (100.0 %; [3]–[133]) respondieron a tipologías documentales y sistemas destino (PI4). Se determinó una fuerte concentración en tablas contables (45.0 %) y facturas comerciales (26.0 %) asociadas a ERPs, frente a menor penetración en flujos documentales de CRM (TABLA XXI, Fig. 9).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2) Desarrollo por Tipología Documental: </w:t>
      </w:r>
      <w:r>
        <w:rPr>
          <w:rFonts w:ascii="Times New Roman" w:hAnsi="Times New Roman"/>
          <w:i w:val="0"/>
          <w:sz w:val="18"/>
        </w:rPr>
        <w:t>Balances y tablas (59 estudios; 45.0 %; CERQual alta) y facturas comerciales (34 estudios; 26.0 %; CERQual alta) forman el núcleo central de interés. Formularios administrativos reúnen 26 estudios (19.8 %) y recibos de caja 12 estudios (9.2 %).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3) Contrastes y Brechas en la Integración Transaccional: </w:t>
      </w:r>
      <w:r>
        <w:rPr>
          <w:rFonts w:ascii="Times New Roman" w:hAnsi="Times New Roman"/>
          <w:i w:val="0"/>
          <w:sz w:val="18"/>
        </w:rPr>
        <w:t>Se constata una brecha de integración transaccional: el 78.6 % de los estudios se detiene en la extracción visual a formato JSON, omitiendo conectores nativos a APIs de ERP o la validación Three-Way Matching contable.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4) Cierre, Tendencias y Sensibilidad: </w:t>
      </w:r>
      <w:r>
        <w:rPr>
          <w:rFonts w:ascii="Times New Roman" w:hAnsi="Times New Roman"/>
          <w:i w:val="0"/>
          <w:sz w:val="18"/>
        </w:rPr>
        <w:t>Al excluir los 10 estudios de calidad inferior, tablas y facturas representaron el 72.7 % (88 de 121), ratificando la centralidad de los comprobantes contables.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97D"/>
          <w:sz w:val="20"/>
        </w:rPr>
        <w:t>J. Análisis de Sensibilidad Global (Paso 8)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i w:val="0"/>
          <w:sz w:val="18"/>
        </w:rPr>
        <w:t>Para verificar la robustez de los hallazgos frente a variaciones de calidad, se contrastaron los resultados de la muestra completa (N = 131) frente a la muestra filtrada de alta calidad (n = 121), habiendo excluido temporalmente los 10 estudios con QA = 3.50 pts ([116]–[118], [121]–[123], [127], [128], [132], [133]). La TABLA XXII documenta la comparación exhaustiva antes y después del filtro.</w:t>
      </w:r>
    </w:p>
    <w:p>
      <w:pPr>
        <w:keepNext/>
        <w:spacing w:before="160" w:after="40"/>
        <w:jc w:val="center"/>
      </w:pPr>
      <w:r>
        <w:rPr>
          <w:rFonts w:ascii="Times New Roman" w:hAnsi="Times New Roman"/>
          <w:b/>
          <w:sz w:val="17"/>
        </w:rPr>
        <w:t>TABLA XXII</w:t>
        <w:br/>
      </w:r>
      <w:r>
        <w:rPr>
          <w:rFonts w:ascii="Times New Roman" w:hAnsi="Times New Roman"/>
          <w:b/>
          <w:sz w:val="17"/>
        </w:rPr>
        <w:t>EVALUACIÓN DEL ANÁLISIS DE SENSIBILIDAD: MUESTRA COMPLETA (N = 131) VS. MUESTRA FILTRADA (N = 121)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2592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Pregunta / Dimensión Evaluada</w:t>
            </w:r>
          </w:p>
        </w:tc>
        <w:tc>
          <w:tcPr>
            <w:tcW w:type="dxa" w:w="2160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Muestra Completa (N = 131)</w:t>
            </w:r>
          </w:p>
        </w:tc>
        <w:tc>
          <w:tcPr>
            <w:tcW w:type="dxa" w:w="2160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Muestra Filtrada (n = 121)</w:t>
            </w:r>
          </w:p>
        </w:tc>
        <w:tc>
          <w:tcPr>
            <w:tcW w:type="dxa" w:w="1296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Variación Absoluta / Relativa</w:t>
            </w:r>
          </w:p>
        </w:tc>
        <w:tc>
          <w:tcPr>
            <w:tcW w:type="dxa" w:w="2160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Dictamen de Robustez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PD1: Producción 2025–2026*</w:t>
            </w:r>
          </w:p>
        </w:tc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54 de 131 estudios (41.2 %)</w:t>
            </w:r>
          </w:p>
        </w:tc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51 de 121 estudios (42.1 %)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+0.9 %</w:t>
            </w:r>
          </w:p>
        </w:tc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Robusto (tendencia alcista inalterada)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PD2: Hegemonía Geográfica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China: 39 de 131 (29.8 %)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China: 38 de 121 (31.4 %)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+1.6 %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Robusto (estabilidad cienciométrica)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PD3: Diseños Experimentales</w:t>
            </w:r>
          </w:p>
        </w:tc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82 de 131 estudios (62.6 %)</w:t>
            </w:r>
          </w:p>
        </w:tc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79 de 121 estudios (65.3 %)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+2.7 %</w:t>
            </w:r>
          </w:p>
        </w:tc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Robusto (convergencia invariable)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PI1: Familia Algorítmica Líder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Pipelines CNN-RNN: 56 (53.3 %)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Pipelines CNN-RNN: 52 (51.5 %)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-1.8 %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Robusto (jerarquía de 4 familias intacta)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PI2: Mediana F1-score Facturas</w:t>
            </w:r>
          </w:p>
        </w:tc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Mediana SROIE = 95.2 %</w:t>
            </w:r>
          </w:p>
        </w:tc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Mediana SROIE = 95.4 %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+0.2 %</w:t>
            </w:r>
          </w:p>
        </w:tc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Robusto (rango empírico preservado)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PI3: Conteo SWiM a Favor de IA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71 de 82 estudios (86.6 %)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69 de 78 estudios (88.5 %)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+1.9 %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Robusto (dirección del efecto inalterada)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PI4: Tipología Contable Líder</w:t>
            </w:r>
          </w:p>
        </w:tc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Balances y facturas: 93 (71.0 %)</w:t>
            </w:r>
          </w:p>
        </w:tc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Balances y facturas: 88 (72.7 %)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+1.7 %</w:t>
            </w:r>
          </w:p>
        </w:tc>
        <w:tc>
          <w:tcPr>
            <w:tcW w:type="dxa" w:w="216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Robusto (núcleo documental inalterado)</w:t>
            </w:r>
          </w:p>
        </w:tc>
      </w:tr>
    </w:tbl>
    <w:p>
      <w:pPr>
        <w:spacing w:before="40" w:after="120"/>
        <w:jc w:val="left"/>
      </w:pPr>
      <w:r>
        <w:rPr>
          <w:rFonts w:ascii="Times New Roman" w:hAnsi="Times New Roman"/>
          <w:i/>
          <w:sz w:val="15"/>
        </w:rPr>
        <w:t>Fuente: elaboración propia a partir del corpus primario [3]–[133]. Filtro de exclusión: estudios con puntaje QA = 3.50 pts.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b/>
          <w:sz w:val="18"/>
        </w:rPr>
        <w:t xml:space="preserve">Síntesis de Robustez Metodológica: </w:t>
      </w:r>
      <w:r>
        <w:rPr>
          <w:rFonts w:ascii="Times New Roman" w:hAnsi="Times New Roman"/>
          <w:i w:val="0"/>
          <w:sz w:val="18"/>
        </w:rPr>
        <w:t>El análisis de sensibilidad demuestra que ninguna de las conclusiones de la revisión sistemática se invierte, distorsiona o altera al depurar los estudios de menor calificación de calidad metodológica. Las variaciones porcentuales fueron mínimas (&lt; ±2.7 %), la dirección del voto en SWiM se mantuvo a favor de la IA y los rangos métricos conservaron sus medianas. La evidencia se dictamina formalmente como robusta y libre de sesgos de agregación.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97D"/>
          <w:sz w:val="20"/>
        </w:rPr>
        <w:t>K. Calificación de Certeza de la Evidencia — Marco GRADE-CERQual (Paso 9)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i w:val="0"/>
          <w:sz w:val="18"/>
        </w:rPr>
        <w:t>En cumplimiento de las directrices de Lewin et al. (2018) [140], se evaluó el nivel de confianza de los hallazgos a través de los cuatro componentes de GRADE-CERQual: limitaciones metodológicas, coherencia, adecuación de datos y relevancia. La TABLA XXIII expone la Tabla Resumen de Hallazgos (SoF).</w:t>
      </w:r>
    </w:p>
    <w:p>
      <w:pPr>
        <w:keepNext/>
        <w:spacing w:before="160" w:after="40"/>
        <w:jc w:val="center"/>
      </w:pPr>
      <w:r>
        <w:rPr>
          <w:rFonts w:ascii="Times New Roman" w:hAnsi="Times New Roman"/>
          <w:b/>
          <w:sz w:val="17"/>
        </w:rPr>
        <w:t>TABLA XXIII</w:t>
        <w:br/>
      </w:r>
      <w:r>
        <w:rPr>
          <w:rFonts w:ascii="Times New Roman" w:hAnsi="Times New Roman"/>
          <w:b/>
          <w:sz w:val="17"/>
        </w:rPr>
        <w:t>TABLA RESUMEN DE HALLAZGOS (SUMMARY OF FINDINGS - SOF) BAJO EL MARCO GRADE-CERQUAL (PASO 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576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Preg.</w:t>
            </w:r>
          </w:p>
        </w:tc>
        <w:tc>
          <w:tcPr>
            <w:tcW w:type="dxa" w:w="3024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Hallazgo Principal Sintetizado</w:t>
            </w:r>
          </w:p>
        </w:tc>
        <w:tc>
          <w:tcPr>
            <w:tcW w:type="dxa" w:w="1440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Limitaciones (QA)</w:t>
            </w:r>
          </w:p>
        </w:tc>
        <w:tc>
          <w:tcPr>
            <w:tcW w:type="dxa" w:w="1440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Coherencia</w:t>
            </w:r>
          </w:p>
        </w:tc>
        <w:tc>
          <w:tcPr>
            <w:tcW w:type="dxa" w:w="1296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Adecuación</w:t>
            </w:r>
          </w:p>
        </w:tc>
        <w:tc>
          <w:tcPr>
            <w:tcW w:type="dxa" w:w="1440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Relevancia</w:t>
            </w:r>
          </w:p>
        </w:tc>
        <w:tc>
          <w:tcPr>
            <w:tcW w:type="dxa" w:w="1152"/>
            <w:vAlign w:val="center"/>
            <w:shd w:fill="1F497D"/>
            <w:tcBorders>
              <w:top w:val="single" w:sz="12" w:space="0" w:color="002060"/>
              <w:left w:val="none" w:sz="4" w:space="0" w:color="auto"/>
              <w:bottom w:val="single" w:sz="12" w:space="0" w:color="002060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Dictamen GRADE-CERQual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PI1</w:t>
            </w:r>
          </w:p>
        </w:tc>
        <w:tc>
          <w:tcPr>
            <w:tcW w:type="dxa" w:w="302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Pipelines CNN-RNN y Transformers multimodales (VLMs) dominan el 74.3 % de las soluciones, convergiendo a modelos ligeros espaciales.</w:t>
            </w:r>
          </w:p>
        </w:tc>
        <w:tc>
          <w:tcPr>
            <w:tcW w:type="dxa" w:w="144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Bajas: 82.4 % calidad alta (media 4.61).</w:t>
            </w:r>
          </w:p>
        </w:tc>
        <w:tc>
          <w:tcPr>
            <w:tcW w:type="dxa" w:w="144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Alta: convergencia técnica internacional.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Alta: n = 105 estudios con arquitectura formal.</w:t>
            </w:r>
          </w:p>
        </w:tc>
        <w:tc>
          <w:tcPr>
            <w:tcW w:type="dxa" w:w="144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Alta: aplicable a documentos semiestructurados.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ALTA CERTEZA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PI2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Las arquitecturas de IA logran medianas de F1-score de 95.2 % en recibos y 89.8 % en tablas, con descensos a 84.5 % ante ruido severo.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Bajas: métricas formales en 89.3 % (QA4 = 0.912).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Alta en benchmarks abiertos; moderada en escaneos degradados.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Alta: n = 117 estudios con datos verificables.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Moderada a Alta: sólida en benchmarks; menor en lotes reales no curados.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ALTA CERTEZA (benchmarks) / MODERADA (lotes degradados)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PI3</w:t>
            </w:r>
          </w:p>
        </w:tc>
        <w:tc>
          <w:tcPr>
            <w:tcW w:type="dxa" w:w="3024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Las soluciones IA superan al ingreso manual y reglas en el 86.6 % de los estudios, reduciendo tiempos de 24–72 h a segundos.</w:t>
            </w:r>
          </w:p>
        </w:tc>
        <w:tc>
          <w:tcPr>
            <w:tcW w:type="dxa" w:w="144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Moderadas: QA5 presentó 32.1 % de cumplimiento parcial.</w:t>
            </w:r>
          </w:p>
        </w:tc>
        <w:tc>
          <w:tcPr>
            <w:tcW w:type="dxa" w:w="144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Alta: consenso generalizado en dirección del efecto.</w:t>
            </w:r>
          </w:p>
        </w:tc>
        <w:tc>
          <w:tcPr>
            <w:tcW w:type="dxa" w:w="1296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Moderada a Alta: n = 82 estudios con comparador.</w:t>
            </w:r>
          </w:p>
        </w:tc>
        <w:tc>
          <w:tcPr>
            <w:tcW w:type="dxa" w:w="1440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Alta: evalúa tiempos y reducción de errores humanos.</w:t>
            </w:r>
          </w:p>
        </w:tc>
        <w:tc>
          <w:tcPr>
            <w:tcW w:type="dxa" w:w="1152"/>
            <w:vAlign w:val="center"/>
            <w:shd w:fill="F2F5F9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MODERADA CERTEZA (por vulnerabilidad en QA5)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PI4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Tablas contables (45.0 %) y facturas (26.0 %) son el eje central, pero el 78.6 % de estudios no implementa conectores nativos ERP.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Bajas: tipología documental 100 % explícita (QA1 = 1.000).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Alta: concordancia global en primacía contable.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Alta: N = 131 estudios cubren la tipología.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Moderada: alta para extracción; moderada en ERP vivo.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space="0" w:color="D3D3D3"/>
              <w:left w:val="none" w:sz="4" w:space="0" w:color="auto"/>
              <w:bottom w:val="single" w:sz="4" w:space="0" w:color="D3D3D3"/>
              <w:right w:val="none" w:sz="4" w:space="0" w:color="auto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ALTA CERTEZA (extracción) / MODERADA (integración ERP)</w:t>
            </w:r>
          </w:p>
        </w:tc>
      </w:tr>
    </w:tbl>
    <w:p>
      <w:pPr>
        <w:spacing w:before="40" w:after="120"/>
        <w:jc w:val="left"/>
      </w:pPr>
      <w:r>
        <w:rPr>
          <w:rFonts w:ascii="Times New Roman" w:hAnsi="Times New Roman"/>
          <w:i/>
          <w:sz w:val="15"/>
        </w:rPr>
        <w:t>Fuente: elaboración propia a partir del corpus primario [3]–[133]. Evaluación estructurada bajo los cuatro dominios de GRADE-CERQual [140].</w:t>
      </w:r>
    </w:p>
    <w:sectPr w:rsidR="00FC693F" w:rsidRPr="0006063C" w:rsidSect="00034616"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