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Artículo RSL: Introducción, Metodología y Resultados | Corpus Primario Final: N = 131 artículos de revista científica (4 nucleares)</w:t>
      </w:r>
    </w:p>
    <w:p>
      <w:pPr>
        <w:spacing w:before="80" w:after="40"/>
        <w:ind w:left="432" w:right="432"/>
      </w:pPr>
      <w:r>
        <w:rPr>
          <w:b/>
          <w:i/>
          <w:sz w:val="18"/>
        </w:rPr>
        <w:t xml:space="preserve">Resumen— </w:t>
      </w:r>
      <w:r>
        <w:rPr>
          <w:sz w:val="18"/>
        </w:rPr>
        <w:t>El procesamiento y validación de datos no estructurados y semiestructurados en documentos empresariales (facturas, recibos, órdenes de compra y tablas financieras) representa uno de los mayores desafíos para la productividad organizacional y la integración transaccional en sistemas corporativos (ERP, CRM, DMS). Esta Revisión Sistemática de la Literatura (RSL) analiza el estado del arte y la evidencia empírica acumulada entre 2020 y 2025 sobre el impacto de las arquitecturas de Inteligencia Artificial (IA) y Procesamiento Inteligente de Documentos (IDP). Siguiendo las directrices metodológicas de Kitchenham &amp; Charters (2007) y el protocolo PRISMA 2020, se ejecutó una búsqueda exhaustiva calibrada en Scopus (n = 311) y Web of Science Core Collection (n = 266), recuperando 577 registros brutos 100% de revista científica. Tras un proceso de deduplicación computacional rigurosa (239 duplicados eliminados), cribado temático bajo protocolo de fiabilidad test-retest ciego (κ = 0.88, 41 excluidos) y evaluación crítica a texto completo bajo control de calidad QA (κ = 0.92, 166 excluidos, incluyendo 20 justificados individualmente bajo el ítem 7 de AMSTAR 2 y 146 de OCR genérico no empresarial), se consolidó un corpus final primario de N = 131 estudios de revista científica (100% Journal Articles revisados por pares). A partir de este corpus, se identificaron cuatro estudios nucleares paradigmáticos de alto impacto (Elsevier Q1, IEEE Q1, MDPI Q2) y se sintetizó la evidencia en torno a cuatro preguntas de investigación temáticas y tres descriptivas. Los resultados demuestran que las arquitecturas neuronales multimodales (LayoutLM, transformers visual-lingüísticos y VLMs) superan consistentemente a los enfoques tradicionales basados en reglas y OCR clásico, alcanzando puntajes F1 superiores al 92% en extracción de información clave (KIE) y reducciones de latencia operativa de hasta un 70%, transformando la eficiencia de los flujos transaccionales corporativos.</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w:t>
      </w:r>
    </w:p>
    <w:p>
      <w:pPr>
        <w:spacing w:line="240" w:lineRule="auto" w:before="0" w:after="80"/>
        <w:jc w:val="both"/>
      </w:pPr>
      <w:r>
        <w:rPr>
          <w:rFonts w:ascii="Times New Roman" w:hAnsi="Times New Roman"/>
          <w:i w:val="0"/>
          <w:sz w:val="19"/>
        </w:rPr>
        <w:t>Este esquema tradicional presenta severas limitaciones de escalabilidad operativa: una alta tasa de error por fatiga humana, costos laborales recurrentes, lentitud en los ciclos de conciliación contable y una extrema fragilidad ante cualquier variación mínima en el diseño o formato de los documentos.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LayoutLM, DocFormer y Vision-Language Models) permiten interpretar simultáneamente la información textual, la disposición espacial (layout) y los atributos visuales de los documentos visualmente ricos (Visually Rich Documents - VRD), habilitando una automatización de extremo a extremo de alta exactitud.</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con tiempos de respuesta que oscilan entre 24 y 72 horas por lote y tasas de error de digitación que oscilan entre el 2% y el 8% [6], [137], repercutiendo en multas tributarias y demoras en pagos a proveedores.</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algoritmos sobre conjuntos de datos públicos controlados, sintéticos o exclusivamente en inglés (como SROIE, FUNSD y CORD), los cuales no reflejan las complejidades del mundo real: documentos con baja resolución de escaneo, sellos y firmas superpuestas, tablas contables anidadas sin bordes y normativas fiscales locales.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Existe una marcada escasez de investigaciones que aborden la integración transaccional directa de extremo a extremo entre los pipelines de IDP y los sistemas empresariales corporativos (ERP, CRM y DMS), evaluando de forma simultánea la latencia de inferencia en tiempo real, el consumo de recursos computacionales (GPU vs. CPU) y los protocolos de arbitraje humano-en-el-bucle (Human-in-the-Loop).</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y los criterios FINER de viabilidad e interés científico,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spacing w:line="240" w:lineRule="auto" w:before="0" w:after="80"/>
        <w:jc w:val="both"/>
      </w:pPr>
      <w:r>
        <w:rPr>
          <w:rFonts w:ascii="Times New Roman" w:hAnsi="Times New Roman"/>
          <w:i w:val="0"/>
          <w:sz w:val="19"/>
        </w:rPr>
        <w:t>Para alcanzar dicho objetivo general, se formulan cuatro objetivos específicos alineados con las interrogantes de investigación:</w:t>
        <w:br/>
        <w:t>1) Caracterizar y clasificar las familias algorítmicas y arquitecturas neuronales predominantes en el procesamiento de documentos empresariales (PI1).</w:t>
        <w:br/>
        <w:t>2) Cuantificar el desempeño empírico alcanzado en benchmarks públicos y privados según las métricas estándar de extracción y reconocimiento (PI2).</w:t>
        <w:br/>
        <w:t>3) Evaluar comparativamente el grado de mejora y eficiencia de los modelos de IA frente al OCR convencional y métodos basados en reglas (PI3).</w:t>
        <w:br/>
        <w:t>4) Identificar los retos técnicos, requerimientos de privacidad y limitaciones de integración en plataformas ERP/CRM en entornos corporativos reales (PI4).</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AMSTAR 2 y mapeo de síntesis); la Sección III expone los Resultados empíricos estructurados en cuatro bloques analíticos en respuesta a las preguntas directas e indirectas de investigación; la Declaración Ética formaliza el uso responsable de tecnologías de IA generativa y la disponibilidad de datos; y la Sección IV compendia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se definió a priori para garantizar la objetividad, trazabilidad y reproducibilidad del estudio.</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Componente</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Definición para este Estudio</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 — Población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 — Intervención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 — Comparación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 — Resultado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 — Contexto</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Código</w:t>
            </w:r>
          </w:p>
        </w:tc>
        <w:tc>
          <w:tcPr>
            <w:tcW w:type="dxa" w:w="28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Investigación Formulada</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Eje de Evidencia / PICOC</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PI3</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medida el procesamiento con IA/IDP reduce tiempos de respuesta y costos operativos frente al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PI4</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Evolución temporal (Contexto)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PD3</w:t>
            </w:r>
          </w:p>
        </w:tc>
        <w:tc>
          <w:tcPr>
            <w:tcW w:type="dxa" w:w="28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neutralizar por completo el riesgo de polisemia del acrónimo aislado 'ERP' (el cual en las pruebas preliminares colisionaba severamente con la literatura neurofisiológica y clínica sobre Event-Related Potentials en electroencefalogramas), se reemplazó formalmente dicha sigla por las frases compuestas 'enterprise resource planning' OR 'ERP system*', mitigando de manera exhaustiva el ruido biomédico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Bloque</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Concepto Base</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Población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empresariales y documentos</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Intervención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IA y procesamiento documental</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Resultado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Automatización, exactitud y eficiencia</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Dicha iteración fue formalmente descartada por dos deficiencias metodológicas críticas: (a) un 28.5% de contaminación semántica derivada del acrónimo 'ERP' (estudios médicos de potenciales evocados en EEG) y (b) la omisión inadvertida de la literatura moderna de KIE, arquitecturas multimodales (LayoutLM, DocFormer) y comprensión de documentos visualmente ricos (VRD). Para subsanar esto, se diseñó la Iteración 2 (calibrada definitiva, archivada en el repositorio metodológico auditable de datos primarios),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de plataforma se redujeron a 311 y 266 registros respectivamente (total n = 577), optimizando la especificidad temático-empresarial y la exhaustividad del rastreo.</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final se identifican tres artículos ([3] Wei et al., [65] Giovannini et al., y [66] Raja et al.) cuya fecha de asignación formal a volumen o fascículo de revista impresa figura con año 2026. Se aclara que dichos registros fueron publicados oficialmente en línea en modalidad Early Access / Advance Online Publication entre agosto y diciembre de 2025. Por este motivo, tanto Scopus como Web of Science Core Collection los indexan legítimamente dentro del rango temporal de búsqueda 2020–2025, cumpliendo de manera estricta con el criterio de inclusión IN1 y las directrices PRISMA-S.</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i w:val="0"/>
          <w:sz w:val="19"/>
        </w:rPr>
        <w:t>Las ecuaciones calibradas se ejecutaron en Scopus y Web of Science Core Collection bajo fecha calendario auditable. Los filtros de plataforma restringieron los resultados al tipo de documento Article (100% artículos de revista científica revisados por pares), período 2020–2025 e idiomas inglés y español (ver Tabla IV):</w:t>
      </w:r>
    </w:p>
    <w:p>
      <w:pPr>
        <w:keepNext/>
        <w:spacing w:before="140" w:after="20"/>
        <w:jc w:val="center"/>
      </w:pPr>
      <w:r>
        <w:rPr>
          <w:rFonts w:ascii="Times New Roman" w:hAnsi="Times New Roman"/>
          <w:b/>
          <w:sz w:val="16"/>
        </w:rPr>
        <w:t>TABLA IV</w:t>
        <w:br/>
      </w:r>
      <w:r>
        <w:rPr>
          <w:rFonts w:ascii="Times New Roman" w:hAnsi="Times New Roman"/>
          <w:sz w:val="16"/>
        </w:rPr>
        <w:t>REGISTRO MAESTRO DE BÚSQUEDA Y EXPORTACIÓN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Base de Datos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Campo</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Sin filtros</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Con filtros</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Tipo Doc.</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Archivo Exportado</w:t>
            </w:r>
          </w:p>
        </w:tc>
      </w:tr>
      <w:tr>
        <w:trPr>
          <w:cantSplit/>
        </w:trPr>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Scopus (Elsevier)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TITLE-ABS-KEY</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3,270</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100% Article</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scopus_export_it2.csv</w:t>
            </w:r>
          </w:p>
        </w:tc>
      </w:tr>
      <w:tr>
        <w:trPr>
          <w:cantSplit/>
        </w:trPr>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Web of Science Core Collection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TS (Topic)</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431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266</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100% Article</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wos_export_it2.xls</w:t>
            </w:r>
          </w:p>
        </w:tc>
      </w:tr>
      <w:tr>
        <w:trPr>
          <w:cantSplit/>
        </w:trPr>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Consolidado</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Simétrico</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100% Article</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Archivos maestros en inputs/</w:t>
            </w:r>
          </w:p>
        </w:tc>
      </w:tr>
    </w:tbl>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Tipo</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Metodológico de Elegibilidad</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Mecanismo de Verificación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Ventana temporal de publicación comprendida entre 2020 y 2025.</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 Document Type = Article (0% congresos).</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de título/resumen (n = 35).</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EX-n</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de Fiabilidad y Arbitraje Metodológico: </w:t>
      </w:r>
      <w:r>
        <w:rPr>
          <w:rFonts w:ascii="Times New Roman" w:hAnsi="Times New Roman"/>
          <w:i w:val="0"/>
          <w:sz w:val="19"/>
        </w:rPr>
        <w:t>La revisión, cribado y extracción de datos fue conducida por el autor principal bajo un protocolo estandarizado de fiabilidad intra-evaluador (test-retest a ciegas con intervalo de separación de tres semanas entre evaluaciones sobre una muestra del 20.6 % del corpus, n = 27 estudios), conforme a las directrices metodológicas para revisiones sistemáticas de autor único (Kitchenham &amp; Charters [1]; Higgins et al. [2]). En la fase de cribado por título y resumen se obtuvo un coeficiente de concordancia Kappa de Cohen κ = 0.88 (acuerdo casi perfecto según Landis &amp; Koch). En la fase de elegibilidad a texto completo se alcanzó un κ = 0.92. Para neutralizar cualquier sesgo de subjetividad individual y resolver dudas metodológicas en casos límite (registradas en menos del 6% de los estudios), se ejecutaron sesiones periódicas de calibración y arbitraje metodológico supervisadas por el docente asesor experto (Mg. Jimmy Sánchez Portugal), garantizando total consistencia y reproducibilidad.</w:t>
      </w:r>
    </w:p>
    <w:p>
      <w:pPr>
        <w:spacing w:line="240" w:lineRule="auto" w:before="0" w:after="80"/>
        <w:jc w:val="both"/>
      </w:pPr>
      <w:r>
        <w:rPr>
          <w:rFonts w:ascii="Times New Roman" w:hAnsi="Times New Roman"/>
          <w:i w:val="0"/>
          <w:sz w:val="19"/>
        </w:rPr>
        <w:t>1) Fase 1 (Identificación): Se recuperaron 577 artículos de revista (311 en Scopus y 266 en WoS).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Bajo protocolo de fiabilidad test-retest ciego (κ = 0.88),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bajo control de calidad QA (Kitchenham), con fiabilidad de reproducibilidad κ = 0.92 y arbitraje docente. Se excluyeron 166 registros: 20 documentados individualmente bajo el ítem 7 de AMSTAR 2 (ver Tabla VIII) y 146 de OCR genérico no empresarial.</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distribuidos orgánicamente en 4 estudios nucleares paradigmáticos (4/4), 59 estudios de soporte avanzado (4/4), 49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Fase PRISMA</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Entrada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Operación Metodológica</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Excluidos</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Salida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Identificación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brutos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Cruce determinista por DOI y título normalizado</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-239 dupl.</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Cribado</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Evaluación de título/resumen con test-retest (κ = 0.88)</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-41 temáticos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elegibles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Elegibilidad</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texto compl.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Lectura de texto completo y control QA (κ = 0.92)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-166 estudios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incluidos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Inclusión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primarios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Mapeo semántico frente a PI1–PI4 y extracción</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N = 131 final</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Corpus Total</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 brutos</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Embudo metodológico auditable y reproducible</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-446 excluidos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protocolo de fiabilidad test-retest ciego y arbitraje metodológico, κ = 0.92)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se formuló un instrumento de calidad metodológica compuesto por cinco preguntas críticas (QA1 a QA5), evaluadas bajo una escala tricotómica objetiva (1.0 = Sí, 0.5 = Parcial, 0.0 = No) con un umbral mínimo de inclusión de QA &gt;= 3.0 / 5.0 (ver Tabla VII). El corpus final primario obtuvo una media de calidad sobresaliente de 4.61 / 5.0 (mínimo = 3.50, máximo = 5.0), con los cuatro estudios nucleares calificados con puntaje perfecto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Control de Calidad Metodológica</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QA4</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QA5</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AMSTAR 2 de Estudios Excluidos a Texto Completo</w:t>
      </w:r>
    </w:p>
    <w:p>
      <w:pPr>
        <w:spacing w:line="240" w:lineRule="auto" w:before="0" w:after="80"/>
        <w:jc w:val="both"/>
      </w:pPr>
      <w:r>
        <w:rPr>
          <w:rFonts w:ascii="Times New Roman" w:hAnsi="Times New Roman"/>
          <w:i w:val="0"/>
          <w:sz w:val="19"/>
        </w:rPr>
        <w:t>En estricto cumplimiento del ítem 7 de AMSTAR 2 y del ítem 16b de PRISMA 2020, la Tabla VIII lista individualmente los 20 estudios excluidos durante la lectura a texto completo que a priori cumplían con los criterios de búsqueda pero no satisficieron los requerimientos de elegibilidad primaria, consignando sus autores completos, base de origen, código y justificación técnica sin truncamientos:</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(AMSTAR 2 ÍTEM 7)</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Referencia Bibliográfica Completa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Base</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Cód.</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Villa-García P.A.; Alonso-Calvo R.; García-Díaz 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Nguyen T.T.; Le H.; Nguyen T.; Vo N.D.; Nguyen V.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Saout T.; Lardeux F.; Saubion F.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Michalak H.; Okarma K.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Zucker A.; Belkada Y.; Vu H.; Nguyen V.N.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Rewoo P.; Jaiswal A.K.; Mahajan D.; Naidu K.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Holeček M.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Vykhodtseva V.A.; Popova G.V.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Varthis E.; Poulos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Francis S.A.; Sangeetha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X.-H.; Yin F.; Dai H.-S.; Liu C.-L. (2022)</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Yang F.; Hu L.; Liu X.; Huang S.; Gu Z.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Di Marzo Serugendo G.; Cappelli M.A.; Fabre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Srivastava D.; Harit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Han S.; Ji S.; Rhee J.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Satirapiwong K.; Siriborvornratanakul T.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Anbukkarasi S.; Varadhaganapathy S.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Shin Y.; Cho Y.; Kang H.W.; Kang J.-G.; Lee C.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Z.; Tian W.; Li C.; Li Y.; Shi H.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Courtney J. (2021)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Paradigmáticos (100% Revista)</w:t>
      </w:r>
    </w:p>
    <w:p>
      <w:pPr>
        <w:spacing w:line="240" w:lineRule="auto" w:before="0" w:after="80"/>
        <w:jc w:val="both"/>
      </w:pPr>
      <w:r>
        <w:rPr>
          <w:rFonts w:ascii="Times New Roman" w:hAnsi="Times New Roman"/>
          <w:i w:val="0"/>
          <w:sz w:val="19"/>
        </w:rPr>
        <w:t>A partir de la evaluación de calidad metodológica (QA = 5.0 / 5.0) y la cobertura integral de las cuatro preguntas temáticas (PI1 a PI4), se seleccionaron cuatro estudios nucleares paradigmáticos de alto impacto (Q1/Q2) aplicando un criterio metodológico de muestreo de máxima variación y representatividad estructural (Maximum Variation Sampling). Dicha selección garantiza que cada una de las cuatro familias algorítmicas predominantes (Transformers/VLMs [3], LLMs con ingeniería de prompts [4], Deep Learning con visión computacional [5] y pipelines híbridos con reglas [6]) y cada una de las cuatro tipologías documentales empresariales (gráficos/tablas, comprobantes corporativos, balances financieros y recibos comerciales) estén formalmente representadas como ancla empírica de calibración para la revisión (ver Tabla IX):</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PARADIGMÁTICOS (100% REVISTA)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y Año</w:t>
            </w:r>
          </w:p>
        </w:tc>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Revista Indexada y Cuartil</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DOI</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Aporte Metodológico Fundamental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[3]</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et al. (2026/2025)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Pattern Recognition (Elsevier,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10.1016/j.patcog.2025.112348</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VLM multimodal para QA visual sobre gráficos y tablas complejas, superando baselines de OCR tradicional.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[4]</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et al.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Electronics (MDPI, Q2)</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10.3390/electronics14112145</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Evaluación rigurosa de LLMs e ingeniería de prompts en extracción de información documental frente a reglas fijas.</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[5]</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&amp; Deshpande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IEEE Access (IEEE,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10.1109/access.2024.3522141</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Pipeline de visión computacional y deep learning para extracción de tablas financieras heterogéneas sin plantillas.</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[6]</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Mifsud et al. (2025)</w:t>
            </w:r>
          </w:p>
        </w:tc>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Mach. Learn. Knowl. Extr. (MDPI, Q2)</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10.3390/make7040167</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mediante una evaluación semántica directa sobre sus variables empíricas: Nucleares (n = 4), Soporte Temático Avanzado (n = 108), Soporte Algorítmico y de Rendimiento (n = 17) y Contextualización (n = 2). La relación biunívoca matemática entre el identificador del corpus [Sxxx] y la cita IEEE [n] está regida estrictamente por Ref IEEE [n] = ID S + 2 (dado que las citas [1] y [2] corresponden a las normas metodológicas marco Kitchenham &amp; Charters y PRISMA 2020). La Tabla X presenta una muestra representativa de 11 estudios a lo largo de los estratos evidenciando esta correspondencia perfecta:</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(Año)</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PI1</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PI2</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PI3</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PI4</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Total</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Estrato de Evidencia</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JX et al. (2026)</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L.-C.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I.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[6]</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Mifsud X.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Yu J.-M.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[S015]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Abdalla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[S030]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Jia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[S050]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Lee E. et al. (2022)</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[S075]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Arshad A.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[S100]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[102]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Yeung O.M. et al. (2023)</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[S125]</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[127]</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Azman N.A. et al. (2021)</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2/4</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[1] y PRISMA 2020 [2], los hallazgos de los 131 estudios primarios [3]–[133] se estructuran y consolidan mediante métodos rigurosos y formalizados según la naturaleza de cada interrogante: Síntesis Temática (Thomas &amp; Harden [134]; Cruzes &amp; Dybå [135]) para la taxonomía algorítmica y tipologías documentales (PI1, PI4); Síntesis Narrativa Estructurada (Popay et al. [136]) con reporte de rangos empíricos [mín, máx] y dispersión por benchmark para el rendimiento técnico (PI2); Síntesis sin metaanálisis (SWiM, Campbell et al. [137]) con conteo de votos de dirección del efecto y barras divergentes para la comparativa de eficiencia frente a métodos tradicionales (PI3); Mapeo Sistemático con gráficos de burbujas (Petersen et al. [138]) para el cruce de diseños y datasets (PD3); análisis cienciométrico con mapas de coocurrencia de palabras clave en VOSviewer (van Eck &amp; Waltman [139]) para redes de investigación (PD2); y calificación formal de la certeza de la evidencia mediante el marco GRADE-CERQual (Lewin et al. [140]).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Pregunta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Contenido Temático a Responder</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Tabla de Evidencia Asignada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Gráfico Asignado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Evolución temporal de publicaciones sobre IA/IDP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anual de artículos (2020–2025).</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líneas de tendencia temporal.</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Productividad académica por autores, revistas indexadas y países líderes.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Ranking de las 10 revistas líderes, autores prolíficos y países.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geográfico y red de coocurrencia de palabras clave en VOSviewer.</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de diseños metodológicos y datasets (públicos vs. privados).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cruzada: diseño metodológico × tipo de dataset.</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burbujas (mapeo sistemático de Petersen et al. [138]).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Taxonomía de enfoques algorítmicos (secuencias, grafos, transformers multimodales).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Matriz de arquitecturas de IA identificadas.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por familia algorítmica (síntesis temática [134], [135]).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Rendimiento cuantitativo reportado (F1-score, exactitud, latencia de inferencia).</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comparativa de métricas por benchmark (SROIE, FUNSD, CORD).</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Síntesis narrativa estructurada (Popay et al. [136]) con rangos [mín, máx] y dispersión.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Comparativa de eficiencia y costo: IA/IDP frente a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Conteo de votos de dirección del efecto (mejora, sin diferencia, empeora).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Método SWiM (Campbell et al. [137]) con gráfico de barras divergentes.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PI4</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Tipologías documentales (facturas, recibos) y sistemas ERP/CRM integrados.</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Frecuencia por tipo de documento × plataforma.</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Dimensión</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Riesgo de Sesgo Identificado</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Selección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Omisión de literatura relevante o sesgo por formato de publicación.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Búsqueda simétrica en Scopus y WoS. Restricción a artículos de revista arbitrados (Articles) por estándar institucional de revisión por pares madura, reconociendo como limitación la no inclusión de actas de congresos (conferencias), las cuales se examinan en la síntesis.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Publicación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 sistemática de artículos con reportes de fallas y limitaciones en escaneos degradados, formatos no estandarizados y altos costos de cómputo.</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del Evaluador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Subjetividad individual durante el cribado y control QA por autor único.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Protocolo de fiabilidad intra-evaluador test-retest ciego (muestra del 20.6 %, κ = 0.88 en cribado, κ = 0.92 en elegibilidad) y arbitraje de calibración metodológica con el docente asesor.</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Validez de Constructo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Derivación rigurosa desde la matriz PICOC e incorporación de sinónimos técnicos exhaustivos (KIE, VRD, LayoutLM, IDP).</w:t>
            </w:r>
          </w:p>
        </w:tc>
      </w:tr>
    </w:tbl>
    <w:p>
      <w:pPr>
        <w:keepNext/>
        <w:spacing w:before="220" w:after="80"/>
        <w:jc w:val="center"/>
      </w:pPr>
      <w:r>
        <w:rPr>
          <w:rFonts w:ascii="Times New Roman" w:hAnsi="Times New Roman"/>
          <w:b/>
          <w:sz w:val="20"/>
        </w:rPr>
        <w:t>III. RESULTADOS</w:t>
      </w:r>
    </w:p>
    <w:p>
      <w:pPr>
        <w:keepNext/>
        <w:spacing w:before="160" w:after="40"/>
        <w:jc w:val="left"/>
      </w:pPr>
      <w:r>
        <w:rPr>
          <w:rFonts w:ascii="Times New Roman" w:hAnsi="Times New Roman"/>
          <w:b/>
          <w:i/>
          <w:sz w:val="19"/>
        </w:rPr>
        <w:t>A. Apertura General del Corpus y Protocolo de Síntesis</w:t>
      </w:r>
    </w:p>
    <w:p>
      <w:pPr>
        <w:spacing w:line="240" w:lineRule="auto" w:before="0" w:after="80"/>
        <w:jc w:val="both"/>
      </w:pPr>
      <w:r>
        <w:rPr>
          <w:rFonts w:ascii="Times New Roman" w:hAnsi="Times New Roman"/>
          <w:i w:val="0"/>
          <w:sz w:val="19"/>
        </w:rPr>
        <w:t>La presente sección describe y cuantifica de forma objetiva la evidencia empírica extraída del corpus de literatura científica incluido, en estricto apego a las directrices de reporte de Kitchenham &amp; Charters (2007) [1], los estándares internacionales de la declaración PRISMA 2020 [2] y las directrices metodológicas de la guía docente institucional. La totalidad de los hallazgos se reporta en tercera persona impersonal y con verbos de reporte neutros, reservando las deducciones teóricas y reflexiones causales para la sección de Discusión.</w:t>
      </w:r>
    </w:p>
    <w:p>
      <w:pPr>
        <w:spacing w:line="240" w:lineRule="auto" w:before="0" w:after="80"/>
        <w:jc w:val="both"/>
      </w:pPr>
      <w:r>
        <w:rPr>
          <w:rFonts w:ascii="Times New Roman" w:hAnsi="Times New Roman"/>
          <w:i w:val="0"/>
          <w:sz w:val="19"/>
        </w:rPr>
        <w:t>El corpus documental primario quedó formalmente cerrado y congelado en un total de N = 131 artículos de revista científica indexada (100 % Journal Articles, sin actas de congreso, preprints, tesis ni literatura gris), habiendo superado el control de calidad metodológica (QA &gt;= 3.50 / 5.00; media global = 4.61 / 5.00). Este volumen supera con holgura el umbral de suficiencia documental exigido para tecnologías con ventana temporal menor a 10 años (n &gt;= 35 estudios). La numeración de citas bibliográficas mantiene una relación matemática biunívoca unívoca: Ref IEEE [n] = ID S + 2, donde las citas [1] y [2] corresponden a las normas metodológicas marco (Kitchenham &amp; Charters y PRISMA 2020), los 131 estudios primarios del corpus se indexan de manera inalterable entre [3] y [133] (desde [S001] hasta [S131]), y las referencias metodológicas complementarias de síntesis documental y cienciometría se ubican en [134] a [140].</w:t>
      </w:r>
    </w:p>
    <w:p>
      <w:pPr>
        <w:spacing w:line="240" w:lineRule="auto" w:before="0" w:after="80"/>
        <w:jc w:val="both"/>
      </w:pPr>
      <w:r>
        <w:rPr>
          <w:rFonts w:ascii="Times New Roman" w:hAnsi="Times New Roman"/>
          <w:i w:val="0"/>
          <w:sz w:val="19"/>
        </w:rPr>
        <w:t>Conforme a los ítems 13a–13f de PRISMA 2020 y para mitigar el sesgo de conveniencia (reporting bias), la selección de la estrategia analítica para cada interrogante se formalizó antes de la consolidación de los datos: 1) Síntesis Temática (Thomas &amp; Harden [134]; Cruzes &amp; Dybå [135]) para la taxonomía algorítmica de arquitecturas IA/IDP (PI1) y el mapeo de tipologías documentales y sistemas ERP/CRM (PI4); 2) Síntesis Narrativa Estructurada (Popay et al. [136]) para el análisis de rendimiento técnico (PI2), organizando las métricas cuantitativas (F1-score, exactitud, latencia) por benchmarks estándar (SROIE, FUNSD, CORD) y reportando rangos empíricos [mín, máx] sin promediar métricas entre datasets incompatibles; 3) Síntesis sin metaanálisis — SWiM (Campbell et al. [137]) para contrastar las soluciones IA/IDP frente a líneas base tradicionales y manuales (PI3), utilizando el conteo de votos de dirección del efecto (Mejora, Sin diferencia, Empeora) y barras divergentes; 4) Mapeo Sistemático Matricial (Petersen et al. [138]) para caracterizar la evolución temporal (PD1) y el cruce bidimensional entre diseños metodológicos y tipologías de dataset (PD3) mediante gráficos de burbujas; 5) Mapeo Cienciométrico y Análisis de Redes (van Eck &amp; Waltman [139]) en PD2 para identificar núcleos de producción científica (revistas, países, autores) y la estructura de coocurrencia de palabras clave de autor en VOSviewer con umbral de &gt;= 3 apariciones; y 6) Calificación de Certeza de la Evidencia (Lewin et al. [140]) mediante el marco GRADE-CERQual sobre 4 pilares para ponderar cada hallazgo principal.</w:t>
      </w:r>
    </w:p>
    <w:p>
      <w:pPr>
        <w:keepNext/>
        <w:spacing w:before="160" w:after="40"/>
        <w:jc w:val="left"/>
      </w:pPr>
      <w:r>
        <w:rPr>
          <w:rFonts w:ascii="Times New Roman" w:hAnsi="Times New Roman"/>
          <w:b/>
          <w:i/>
          <w:sz w:val="19"/>
        </w:rPr>
        <w:t>B. Evolución Temporal de la Producción Científica (PD1)</w:t>
      </w:r>
    </w:p>
    <w:p>
      <w:pPr>
        <w:spacing w:line="240" w:lineRule="auto" w:before="0" w:after="80"/>
        <w:jc w:val="both"/>
      </w:pPr>
      <w:r>
        <w:rPr>
          <w:rFonts w:ascii="Times New Roman" w:hAnsi="Times New Roman"/>
          <w:i w:val="0"/>
          <w:sz w:val="19"/>
        </w:rPr>
        <w:t>Para determinar el comportamiento cronológico de la literatura sobre IA/IDP aplicada al procesamiento de documentos de negocio entre 2020 y 2025/2026, se contabilizó la distribución de los 131 artículos primarios por año de publicación formal indexada, cuyos datos cuantitativos se detallan en la TABLA XIII y se visualizan gráficamente en la Fig. 2.</w:t>
      </w:r>
    </w:p>
    <w:p>
      <w:pPr>
        <w:keepNext/>
        <w:spacing w:before="140" w:after="20"/>
        <w:jc w:val="center"/>
      </w:pPr>
      <w:r>
        <w:rPr>
          <w:rFonts w:ascii="Times New Roman" w:hAnsi="Times New Roman"/>
          <w:b/>
          <w:sz w:val="16"/>
        </w:rPr>
        <w:t>TABLA XIII</w:t>
        <w:br/>
      </w:r>
      <w:r>
        <w:rPr>
          <w:rFonts w:ascii="Times New Roman" w:hAnsi="Times New Roman"/>
          <w:sz w:val="16"/>
        </w:rPr>
        <w:t>DISTRIBUCIÓN CRONOLÓGICA DE LA PRODUCCIÓN CIENTÍFICA (2020–2025/2026)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Año de Publicación</w:t>
            </w:r>
          </w:p>
        </w:tc>
        <w:tc>
          <w:tcPr>
            <w:tcW w:type="dxa" w:w="40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Indexados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Absoluta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Porcentaje Acumulado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2020</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[64], [111], [130], [131]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2021</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[58]–[63], [112]–[114], [123], [126]–[129]</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10.7 %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2022</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[50]–[55], [57], [103]–[109], [125], [132], [133]</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17</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13.0 %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2023</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[39]–[49], [67], [90]–[92], [94]–[102], [121], [124]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19.8 %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46.6 %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2024</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[28]–[31], [33]–[38], [84], [86]–[89], [120]</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12.2 %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58.8 %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2025</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[4]–[27], [32], [56], [68]–[83], [85], [93], [110], [115]–[119], [122]</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38.9 %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97.7 %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2026*</w:t>
            </w:r>
          </w:p>
        </w:tc>
        <w:tc>
          <w:tcPr>
            <w:tcW w:type="dxa" w:w="40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 [65], [66]</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3</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2.3 %</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 Nota: Los estudios fechados en 2026 corresponden a artículos aceptados e incorporados en modalidad Early Access / In Press en Scopus y Web of Science durante el cierre de 2025 ([3], [65], [66]). 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635361"/>
            <wp:docPr id="2" name="Picture 2"/>
            <wp:cNvGraphicFramePr>
              <a:graphicFrameLocks noChangeAspect="1"/>
            </wp:cNvGraphicFramePr>
            <a:graphic>
              <a:graphicData uri="http://schemas.openxmlformats.org/drawingml/2006/picture">
                <pic:pic>
                  <pic:nvPicPr>
                    <pic:cNvPr id="0" name="fig2_evolucion_anual.png"/>
                    <pic:cNvPicPr/>
                  </pic:nvPicPr>
                  <pic:blipFill>
                    <a:blip r:embed="rId10"/>
                    <a:stretch>
                      <a:fillRect/>
                    </a:stretch>
                  </pic:blipFill>
                  <pic:spPr>
                    <a:xfrm>
                      <a:off x="0" y="0"/>
                      <a:ext cx="3063240" cy="1635361"/>
                    </a:xfrm>
                    <a:prstGeom prst="rect"/>
                  </pic:spPr>
                </pic:pic>
              </a:graphicData>
            </a:graphic>
          </wp:inline>
        </w:drawing>
      </w:r>
    </w:p>
    <w:p>
      <w:pPr>
        <w:spacing w:before="40" w:after="120"/>
        <w:jc w:val="both"/>
      </w:pPr>
      <w:r>
        <w:rPr>
          <w:rFonts w:ascii="Times New Roman" w:hAnsi="Times New Roman"/>
          <w:b/>
          <w:sz w:val="17"/>
        </w:rPr>
        <w:t xml:space="preserve">Fig. 2. </w:t>
      </w:r>
      <w:r>
        <w:rPr>
          <w:rFonts w:ascii="Times New Roman" w:hAnsi="Times New Roman"/>
          <w:sz w:val="17"/>
        </w:rPr>
        <w:t xml:space="preserve">Evolución temporal de publicaciones sobre IA/IDP en documentos empresariales (2020–2025/2026, N = 131). </w:t>
      </w:r>
      <w:r>
        <w:rPr>
          <w:rFonts w:ascii="Times New Roman" w:hAnsi="Times New Roman"/>
          <w:sz w:val="16"/>
        </w:rPr>
        <w:t xml:space="preserve">Barras: volumen anual absoluto (n); línea roja: porcentaje acumulado (%).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PD1): </w:t>
      </w:r>
      <w:r>
        <w:rPr>
          <w:rFonts w:ascii="Times New Roman" w:hAnsi="Times New Roman"/>
          <w:i w:val="0"/>
          <w:sz w:val="19"/>
        </w:rPr>
        <w:t>Ciento treinta y un estudios (100.0 % del corpus primario; [3]–[133]) respondieron a la evolución cronológica de la producción científica en IA e IDP aplicada a sistemas documentales corporativos (PD1). Mediante mapeo sistemático cronológico se identificó una trayectoria de crecimiento marcadamente expansiva y no lineal a lo largo del sexenio 2020–2025/2026, con una concentración máxima de publicaciones en el bienio final (TABLA XIII, Fig. 2).</w:t>
      </w:r>
    </w:p>
    <w:p>
      <w:pPr>
        <w:spacing w:line="240" w:lineRule="auto" w:before="0" w:after="80"/>
        <w:jc w:val="both"/>
      </w:pPr>
      <w:r>
        <w:rPr>
          <w:rFonts w:ascii="Times New Roman" w:hAnsi="Times New Roman"/>
          <w:b/>
          <w:sz w:val="19"/>
        </w:rPr>
        <w:t xml:space="preserve">2) Desarrollo por Categoría y Fases Temporales: </w:t>
      </w:r>
      <w:r>
        <w:rPr>
          <w:rFonts w:ascii="Times New Roman" w:hAnsi="Times New Roman"/>
          <w:i w:val="0"/>
          <w:sz w:val="19"/>
        </w:rPr>
        <w:t>La dinámica temporal de publicación se articula en tres periodos analíticos diferenciados:</w:t>
        <w:br/>
        <w:t>a) Fase de emergencia y cimientos basados en OCR-CNN (2020–2021): Reúne 18 estudios (13.7 % del corpus; [58]–[64], [111]–[114], [123], [126]–[131]), donde predominaron propuestas orientadas a mejorar la binarización de escaneos, OCR neuronal con LSTM y segmentación clásica con Mask R-CNN, registrando tasas de publicación moderadas (4 estudios en 2020 y 14 en 2021). El 88.9 % de los estudios de esta fase reportó calidad alta, aunque con certeza CERQual moderada.</w:t>
        <w:br/>
        <w:t>b) Fase de consolidación de Transformers Multimodales (2022–2023): Concentra 43 estudios (32.8 % del corpus; [39]–[55], [57], [67], [90]–[92], [94]–[109], [121], [124], [125], [132], [133]), representando el primer punto de inflexión significativo al pasar de 17 artículos en 2022 a 26 en 2023 (19.8 % anual), impulsada por la adopción de modelos multimodales preentrenados (LayoutLMv2/v3, StrucTexT, BROS) y redes de grafos (GCN) para extracción de entidades clave (KIE).</w:t>
        <w:br/>
        <w:t>c) Fase de aceleración exponencial con VLMs y Modelos Generativos (2025–2026*): Agrupa 54 estudios (41.2 % del corpus; [3]–[27], [32], [56], [65], [66], [68]–[83], [85], [93], [110], [115]–[119], [122]), constituyendo la etapa más prolífica con 51 publicaciones en 2025 (38.9 %) y 3 en Early Access para 2026 (2.3 %; [3], [65], [66]), gracias al despliegue masivo de Vision-Language Models y LLMs adaptados con prompt engineering.</w:t>
      </w:r>
    </w:p>
    <w:p>
      <w:pPr>
        <w:spacing w:line="240" w:lineRule="auto" w:before="0" w:after="80"/>
        <w:jc w:val="both"/>
      </w:pPr>
      <w:r>
        <w:rPr>
          <w:rFonts w:ascii="Times New Roman" w:hAnsi="Times New Roman"/>
          <w:b/>
          <w:sz w:val="19"/>
        </w:rPr>
        <w:t xml:space="preserve">3) Contrastes y Debates Temporales: </w:t>
      </w:r>
      <w:r>
        <w:rPr>
          <w:rFonts w:ascii="Times New Roman" w:hAnsi="Times New Roman"/>
          <w:i w:val="0"/>
          <w:sz w:val="19"/>
        </w:rPr>
        <w:t>A pesar de la tendencia global alcista, la literatura experimentó una desaceleración temporal transitoria durante 2024, con 16 estudios reportados (12.2 %; [28]–[31], [33]–[38], [84], [86]–[89], [120]), cifra inferior a los 26 estudios alcanzados en 2023. El análisis de los manuscritos revela que este valle temporal obedeció al agotamiento empírico de las arquitecturas de grafos tradicionales y pipelines híbridos heurísticos [28], [34], [86], los cuales exhibían techos de rendimiento frente a distorsiones complejas, provocando un viraje en los laboratorios de investigación hacia la reconfiguración y entrenamiento de modelos fundacionales multimodales y arquitecturas zero-shot que vieron la luz masivamente en 2025 [3], [6], [12], [22], [32].</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sobre IA/IDP en sistemas corporativos evidencia una trayectoria de maduración irreversible, transitando desde la simple corrección óptica de caracteres hacia sistemas integrales de comprensión de documentos ricos visualmente (Visually-Rich Documents). No se identificaron estudios longitudinales que evalúen la degradación de los modelos a lo largo de más de dos años operativos en empresas. Al ejecutar el análisis de sensibilidad excluyendo los 10 estudios del estrato inferior de calidad (QA = 3.5; [116]–[118], [121]–[123], [127], [128], [132], [133]), la proporción correspondiente al ciclo 2025–2026 se elevó al 42.1 % (51 de 121 estudios), ratificando la robustez de la tendencia expansiva.</w:t>
      </w:r>
    </w:p>
    <w:p>
      <w:pPr>
        <w:keepNext/>
        <w:spacing w:before="160" w:after="40"/>
        <w:jc w:val="left"/>
      </w:pPr>
      <w:r>
        <w:rPr>
          <w:rFonts w:ascii="Times New Roman" w:hAnsi="Times New Roman"/>
          <w:b/>
          <w:i/>
          <w:sz w:val="19"/>
        </w:rPr>
        <w:t>C. Productividad por Revistas, Autores, Países y Red de Coocurrencia (PD2)</w:t>
      </w:r>
    </w:p>
    <w:p>
      <w:pPr>
        <w:spacing w:line="240" w:lineRule="auto" w:before="0" w:after="80"/>
        <w:jc w:val="both"/>
      </w:pPr>
      <w:r>
        <w:rPr>
          <w:rFonts w:ascii="Times New Roman" w:hAnsi="Times New Roman"/>
          <w:i w:val="0"/>
          <w:sz w:val="19"/>
        </w:rPr>
        <w:t>Para responder a PD2, se normalizaron los títulos de las revistas indexadas, se contabilizó la productividad de los autores, se aplicó la regla estricta de afiliación geográfica institucional del autor principal (primer autor) y se estructuró la red de coocurrencia de palabras clave de autor (Author Keywords) con un umbral de frecuencia &gt;= 3 en VOSviewer [139]. La evidencia bibliométrica se compendia en la TABLA XIV, la TABLA XV y la Fig. 3.</w:t>
      </w:r>
    </w:p>
    <w:p>
      <w:pPr>
        <w:keepNext/>
        <w:spacing w:before="140" w:after="20"/>
        <w:jc w:val="center"/>
      </w:pPr>
      <w:r>
        <w:rPr>
          <w:rFonts w:ascii="Times New Roman" w:hAnsi="Times New Roman"/>
          <w:b/>
          <w:sz w:val="16"/>
        </w:rPr>
        <w:t>TABLA XIV</w:t>
        <w:br/>
      </w:r>
      <w:r>
        <w:rPr>
          <w:rFonts w:ascii="Times New Roman" w:hAnsi="Times New Roman"/>
          <w:sz w:val="16"/>
        </w:rPr>
        <w:t>REVISTAS CIENTÍFICAS LÍDERES EN PROCESAMIENTO INTELIGENTE DE DOCUMENTOS EMPRESARIALES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360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Revista Científica Indexada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Editorial</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Cuartil</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Artículos en Corpus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 Access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 / 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[8], [16], [26], [59]–[61], [84], [88], [94], [103], [108], [131]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 (9.9 %)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on Document Analysis and Recognition (IJDAR)</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[9], [33], [35], [39], [50], [65], [66], [77], [115]</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 (6.9 %)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Pattern Recognition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[41], [80], [92], [105], [120]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 (4.6 %)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Multimedia Tools and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[15], [21], [52], [55], [57]</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 (3.8 %)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Expert Systems with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[36], [67], [83]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Engineering Applications of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[24], [101], [114], [119]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Applied Sciences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[79], [85], [97], [123]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Electronics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[7], [42]</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of Pattern Recognition and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World Scientific</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[47], [89], [121]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Neurocomputing</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[23], [38], [51]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Computers, Materials and Continua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Tech Science Press</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[22], [62], [109]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Proceedings of the VLDB Endowment (PVLDB)</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VLDB Endowment</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 [112], [130]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Otras 62 revistas indexadas (&lt;= 2 estudios c/u)</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Diversas</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Q1–Q3</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Citas dispersas [10], [12], [13], [17]–[20], etc.</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71 (54.2 %)</w:t>
            </w:r>
          </w:p>
        </w:tc>
      </w:tr>
    </w:tbl>
    <w:p>
      <w:pPr>
        <w:spacing w:before="40" w:after="120"/>
        <w:jc w:val="left"/>
      </w:pPr>
      <w:r>
        <w:rPr>
          <w:rFonts w:ascii="Times New Roman" w:hAnsi="Times New Roman"/>
          <w:i/>
          <w:sz w:val="16"/>
        </w:rPr>
        <w:t>Fuente: elaboración propia a partir del corpus primario [3]–[133]. Nombres de revistas unificados y normalizados de Scopus y Web of Science.</w:t>
      </w:r>
    </w:p>
    <w:p>
      <w:pPr>
        <w:keepNext/>
        <w:spacing w:before="140" w:after="20"/>
        <w:jc w:val="center"/>
      </w:pPr>
      <w:r>
        <w:rPr>
          <w:rFonts w:ascii="Times New Roman" w:hAnsi="Times New Roman"/>
          <w:b/>
          <w:sz w:val="16"/>
        </w:rPr>
        <w:t>TABLA XV</w:t>
        <w:br/>
      </w:r>
      <w:r>
        <w:rPr>
          <w:rFonts w:ascii="Times New Roman" w:hAnsi="Times New Roman"/>
          <w:sz w:val="16"/>
        </w:rPr>
        <w:t>CONCENTRACIÓN GEOGRÁFICA POR AFILIACIÓN DEL PRIMER AUTOR Y AUTORES DESTACADOS (N = 131)</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País de Afiliación (Primer Autor)</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Autores Más Prolíficos en el Corpus (&gt;= 3 publicaciones)</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29.8 %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Zhang J. (4; [43], [81], [82], [120]), Zhang Y. (4; [78], [79], [81], [82]), Li C. (3; [9], [15], [32]), Liu J. (3; [19], [34], [74]), Zhang W. (3; [26], [37], [73]), Ma J. (3; [37], [43], [120]), Zhang Z. (3; [43], [83], [120]).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India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8.4 %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Tiwari D. (2; [10], [31]), Gupta A. (2; [10], [31]), Baviskar D. (2; [60], [129]), Ahirrao S. (2; [60], [129]), Kotecha K. (2; [60], [129]).</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Estados Unidos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Wang P. (3; [47], [89], [121]), Lai P. (2; [89], [121]), Kim S. (2; [89], [121]), Burdick D. (1; [130]).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Alemania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6.9 %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Hashmi K.A. (3; [59], [61], [123]), Liwicki M. (3; [59], [61], [123]), Stricker D. (3; [59], [61], [123]), Afzal M.Z. (2; [59], [61]).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Corea del Sur</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Lee S. (3; [42], [71], [121]), Lee E. (2; [52], [71]), Cho N.I. (2; [52], [71]).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Canadá</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Simsek M. (4; [11], [35], [48], [51]), Kantarci B. (4; [11], [35], [48], [51]), Xiao B. (3; [11], [35], [48]), Alkheir A.A. (3; [11], [35], [48]).</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Vietnam</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 A.C. (2; [75], [107]), Nguyen H.T. (2; [75], [107]), Nguyen M.-T. (2; [67], [114]).</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Taiwán</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Chen L.-C. (1; [4]), Lin H.-Y. (1; [98]), Lee W.-T. (1; [106]), Huang C.-C. (1; [106]).</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Turquía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Oral B. (2; [50], [64]), Eryiğit G. (2; [50], [64]), Sayallar C. (1; [100]), Arslan H. (1; [103]).</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España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Fornés A. (2; [105], [111]), Lladós J. (2; [105], [116]), Sainz-De-Abajo B. (1; [131]).</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Otros 22 países (&lt;= 2 estudios c/u)</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38</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29.0 %</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Investigadores con filiaciones en Australia, Reino Unido, Singapur, Francia, Italia, etc.</w:t>
            </w:r>
          </w:p>
        </w:tc>
      </w:tr>
    </w:tbl>
    <w:p>
      <w:pPr>
        <w:spacing w:before="40" w:after="120"/>
        <w:jc w:val="left"/>
      </w:pPr>
      <w:r>
        <w:rPr>
          <w:rFonts w:ascii="Times New Roman" w:hAnsi="Times New Roman"/>
          <w:i/>
          <w:sz w:val="16"/>
        </w:rPr>
        <w:t>Fuente: elaboración propia a partir del corpus primario [3]–[133]. Regla de país: país de la institución universitaria o centro corporativo del primer autor.</w:t>
      </w:r>
    </w:p>
    <w:p>
      <w:pPr>
        <w:keepNext/>
        <w:spacing w:before="120" w:after="40"/>
        <w:jc w:val="center"/>
      </w:pPr>
      <w:r>
        <w:drawing>
          <wp:inline xmlns:a="http://schemas.openxmlformats.org/drawingml/2006/main" xmlns:pic="http://schemas.openxmlformats.org/drawingml/2006/picture">
            <wp:extent cx="3063240" cy="1533581"/>
            <wp:docPr id="3" name="Picture 3"/>
            <wp:cNvGraphicFramePr>
              <a:graphicFrameLocks noChangeAspect="1"/>
            </wp:cNvGraphicFramePr>
            <a:graphic>
              <a:graphicData uri="http://schemas.openxmlformats.org/drawingml/2006/picture">
                <pic:pic>
                  <pic:nvPicPr>
                    <pic:cNvPr id="0" name="fig3_vosviewer_geografia.png"/>
                    <pic:cNvPicPr/>
                  </pic:nvPicPr>
                  <pic:blipFill>
                    <a:blip r:embed="rId11"/>
                    <a:stretch>
                      <a:fillRect/>
                    </a:stretch>
                  </pic:blipFill>
                  <pic:spPr>
                    <a:xfrm>
                      <a:off x="0" y="0"/>
                      <a:ext cx="3063240" cy="1533581"/>
                    </a:xfrm>
                    <a:prstGeom prst="rect"/>
                  </pic:spPr>
                </pic:pic>
              </a:graphicData>
            </a:graphic>
          </wp:inline>
        </w:drawing>
      </w:r>
    </w:p>
    <w:p>
      <w:pPr>
        <w:spacing w:before="40" w:after="120"/>
        <w:jc w:val="both"/>
      </w:pPr>
      <w:r>
        <w:rPr>
          <w:rFonts w:ascii="Times New Roman" w:hAnsi="Times New Roman"/>
          <w:b/>
          <w:sz w:val="17"/>
        </w:rPr>
        <w:t xml:space="preserve">Fig. 3. </w:t>
      </w:r>
      <w:r>
        <w:rPr>
          <w:rFonts w:ascii="Times New Roman" w:hAnsi="Times New Roman"/>
          <w:sz w:val="17"/>
        </w:rPr>
        <w:t xml:space="preserve">Concentración geográfica de la investigación y principales clústeres temáticos derivados de palabras clave de autor (PD2, N = 131). </w:t>
      </w:r>
      <w:r>
        <w:rPr>
          <w:rFonts w:ascii="Times New Roman" w:hAnsi="Times New Roman"/>
          <w:sz w:val="16"/>
        </w:rPr>
        <w:t xml:space="preserve">(a) Distribución porcentual por país de afiliación del autor principal; (b) Frecuencia de descriptores con umbral ≥ 3 ocurrencias en VOSviewer.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PD2): </w:t>
      </w:r>
      <w:r>
        <w:rPr>
          <w:rFonts w:ascii="Times New Roman" w:hAnsi="Times New Roman"/>
          <w:i w:val="0"/>
          <w:sz w:val="19"/>
        </w:rPr>
        <w:t>Ciento treinta y un artículos primarios (100.0 % del corpus; [3]–[133]) respondieron a la distribución de productividad académica por revistas, autores, países y estructura temática de redes (PD2). Mediante análisis cienciométrico y mapeo de coocurrencia en VOSviewer [139] se identificó una concentración de publicaciones en revistas especializadas de procesamiento de documentos e ingeniería de sistemas, liderada a nivel geográfico por instituciones de China, India y Estados Unidos, con una marcada desconcentración autoral (TABLA XIV, TABLA XV, Fig. 3).</w:t>
      </w:r>
    </w:p>
    <w:p>
      <w:pPr>
        <w:spacing w:line="240" w:lineRule="auto" w:before="0" w:after="80"/>
        <w:jc w:val="both"/>
      </w:pPr>
      <w:r>
        <w:rPr>
          <w:rFonts w:ascii="Times New Roman" w:hAnsi="Times New Roman"/>
          <w:b/>
          <w:sz w:val="19"/>
        </w:rPr>
        <w:t xml:space="preserve">2) Desarrollo por Categoría y Redes Temáticas: </w:t>
      </w:r>
      <w:r>
        <w:rPr>
          <w:rFonts w:ascii="Times New Roman" w:hAnsi="Times New Roman"/>
          <w:i w:val="0"/>
          <w:sz w:val="19"/>
        </w:rPr>
        <w:t>La evidencia se estructura en tres dimensiones bibliométricas:</w:t>
        <w:br/>
        <w:t>a) Núcleos de difusión y revistas líderes: Doce revistas concentraron el 45.8 % de la producción global (60 de 131 artículos; TABLA XIV). El canal predominante fue IEEE Access con 13 artículos (9.9 %; [5], [8], [16], [26], [59]–[61], [84], [88], [94], [103], [108], [131]), seguido de International Journal on Document Analysis and Recognition (IJDAR) de Springer con 9 artículos (6.9 %; [9], [33], [35], [39], [50], [65], [66], [77], [115]) y Pattern Recognition de Elsevier con 6 artículos (4.6 %; [3], [41], [80], [92], [105], [120]).</w:t>
        <w:br/>
        <w:t>b) Polos geográficos de investigación: Conforme a la regla de asignación por primer autor, China lideró con 39 estudios (29.8 %; TABLA XV, Fig. 3a), seguida de India con 11 estudios (8.4 %) y Estados Unidos con 10 estudios (7.6 %). Europa occidental sumó presencia relevante con Alemania (9 estudios, 6.9 %) y España (3 estudios, 2.3 %).</w:t>
        <w:br/>
        <w:t>c) Red cienciométrica de palabras clave (VOSviewer): Con umbral &gt;= 3 apariciones se configuraron tres clústeres conceptuales (Fig. 3b): Clúster 1 (Extracción y Semántica: Information Extraction con 26 ocurrencias, Document Understanding con 6 y KIE con 4); Clúster 2 (Paradigmas Algorítmicos: Deep Learning con 21 ocurrencias, OCR con 24 y Transformers con 5); y Clúster 3 (Estructuras Complejas: Table Structure Recognition con 11 ocurrencias, Table Detection con 11 y Object Detection con 8).</w:t>
      </w:r>
    </w:p>
    <w:p>
      <w:pPr>
        <w:spacing w:line="240" w:lineRule="auto" w:before="0" w:after="80"/>
        <w:jc w:val="both"/>
      </w:pPr>
      <w:r>
        <w:rPr>
          <w:rFonts w:ascii="Times New Roman" w:hAnsi="Times New Roman"/>
          <w:b/>
          <w:sz w:val="19"/>
        </w:rPr>
        <w:t xml:space="preserve">3) Contrastes y Dispersión Autoral: </w:t>
      </w:r>
      <w:r>
        <w:rPr>
          <w:rFonts w:ascii="Times New Roman" w:hAnsi="Times New Roman"/>
          <w:i w:val="0"/>
          <w:sz w:val="19"/>
        </w:rPr>
        <w:t>A diferencia de la marcada concentración institucional observada en China y en revistas como IEEE Access e IJDAR, el análisis de autoría evidenció una alta dispersión autoral. De los 498 investigadores vinculados al corpus, 422 autores (84.7 %) publicaron exactamente un solo artículo dentro de la ventana 2020–2025. Solo dos clústeres cooperativos sostuvieron productividad serial en el tema: el grupo de la Universidad de Ottawa en Canadá (Simsek M., Kantarci B., Xiao B. y Alkheir A.A. con 4 publicaciones conjuntas sobre tablas y hojas de datos; [11], [35], [48], [51]) y el grupo del DFKI / Universidad de Kaiserslautern en Alemania (Hashmi K.A., Liwicki M., Stricker D. y Afzal M.Z. con 3 estudios de detección tabular; [59], [61], [123]). Esto demuestra que la automatización de documentos empresariales es abordada principalmente por iniciativas de investigación aplicadas y distribuidas, y no por un laboratorio hegemónico.</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Se constata una brecha geográfica crítica: no se identificaron artículos del corpus con autor principal afiliado a instituciones de América Latina dedicados a documentos tributarios o empresariales corporativos propios de la región (únicamente contribuciones españolas en detección tabular y recibos; [105], [111], [131]). El análisis de sensibilidad (excluyendo estudios con QA = 3.5) no modificó las 5 revistas líderes ni la posición hegemónica de China (31.4 % de los estudios filtrados; 38 de 121), confirmando la estabilidad del mapa cienciométrico.</w:t>
      </w:r>
    </w:p>
    <w:p>
      <w:pPr>
        <w:keepNext/>
        <w:spacing w:before="160" w:after="40"/>
        <w:jc w:val="left"/>
      </w:pPr>
      <w:r>
        <w:rPr>
          <w:rFonts w:ascii="Times New Roman" w:hAnsi="Times New Roman"/>
          <w:b/>
          <w:i/>
          <w:sz w:val="19"/>
        </w:rPr>
        <w:t>D. Clasificación de Diseños Metodológicos × Tipología de Datasets (PD3)</w:t>
      </w:r>
    </w:p>
    <w:p>
      <w:pPr>
        <w:spacing w:line="240" w:lineRule="auto" w:before="0" w:after="80"/>
        <w:jc w:val="both"/>
      </w:pPr>
      <w:r>
        <w:rPr>
          <w:rFonts w:ascii="Times New Roman" w:hAnsi="Times New Roman"/>
          <w:i w:val="0"/>
          <w:sz w:val="19"/>
        </w:rPr>
        <w:t>Para evaluar la solidez empírica y la transferibilidad industrial de las soluciones reportadas en el corpus, se clasificaron los 131 estudios primarios cruzando la taxonomía estandarizada de diseños de investigación frente a las fuentes de datos utilizadas (benchmarks públicos, privados corporativos o mixtos). La fiabilidad de reproducibilidad (test-retest a ciegas) de esta categorización se evaluó sobre una muestra del 20.6 % del corpus (n = 27 estudios seleccionados aleatoriamente), alcanzando un coeficiente Kappa de Cohen κ = 0.85 (acuerdo observado del 88.9 % frente a un azar esperado de 0.258; concordancia casi perfecta). La matriz de contingencia se reporta en la TABLA XVI y el gráfico de burbujas de Petersen et al. (2015) [138] se expone en la Fig. 4.</w:t>
      </w:r>
    </w:p>
    <w:p>
      <w:pPr>
        <w:keepNext/>
        <w:spacing w:before="140" w:after="20"/>
        <w:jc w:val="center"/>
      </w:pPr>
      <w:r>
        <w:rPr>
          <w:rFonts w:ascii="Times New Roman" w:hAnsi="Times New Roman"/>
          <w:b/>
          <w:sz w:val="16"/>
        </w:rPr>
        <w:t>TABLA XVI</w:t>
        <w:br/>
      </w:r>
      <w:r>
        <w:rPr>
          <w:rFonts w:ascii="Times New Roman" w:hAnsi="Times New Roman"/>
          <w:sz w:val="16"/>
        </w:rPr>
        <w:t>MATRIZ CRUZADA DE DISEÑOS METODOLÓGICOS Y TIPOLOGÍA DE DATASETS (PD3)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Diseño Metodológico de Investigación</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Benchmarks Públicos Abiertos</w:t>
            </w:r>
          </w:p>
        </w:tc>
        <w:tc>
          <w:tcPr>
            <w:tcW w:type="dxa" w:w="187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Corporativos Privados</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Híbridos / Mixtos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Total por Diseño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Experimental Controlado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48 (36.6 %)</w:t>
              <w:br/>
              <w:t>[3]–[6], [8], [9], [12], [14], [15], [17], [19], [30]–[33], [35], [37], [39]–[42], [46]–[48], [50], [52], [57], [61], [67], [71]–[74], [76], [77], [80], [83], [86], [88]–[90], [92], [93], [96], [99], [104], [105], [108]</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18 (13.7 %)</w:t>
              <w:br/>
              <w:t>[7], [10], [11], [13], [20], [22], [28], [34], [36], [43]–[45], [49], [51], [55], [56], [81], [91]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16 (12.2 %)</w:t>
              <w:br/>
              <w:t>[16], [18], [21], [23]–[27], [29], [38], [60], [65], [66], [68], [78], [87]</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62.6 %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Desarrollo de Artefacto / PoC</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14 (10.7 %)</w:t>
              <w:br/>
              <w:t>[63], [69], [79], [97], [100], [102], [106], [109]–[111], [113]–[116]</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(8.4 %)</w:t>
              <w:br/>
              <w:t>[54], [95], [98], [112], [118]–[124]</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 (4.6 %)</w:t>
              <w:br/>
              <w:t>[58], [59], [125], [126], [129], [130]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23.7 %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Cuasi-experimental</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[85], [94], [101], [132]</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[53], [82], [107], [133]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[62], [128]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Caso de Estudio Real Corporativo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[84], [103]</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(3.8 %)</w:t>
              <w:br/>
              <w:t>[64], [70], [75], [117], [127]</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(0.8 %)</w:t>
              <w:br/>
              <w:t>[131]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6.1 %</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por Tipología de Dataset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68 (51.9 %)</w:t>
            </w:r>
          </w:p>
        </w:tc>
        <w:tc>
          <w:tcPr>
            <w:tcW w:type="dxa" w:w="187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38 (29.0 %)</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25 (19.1 %)</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131</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Medición de fiabilidad test-retest sobre muestra del 20.6 % (n = 27): Po = 88.9 %, Pe = 0.258, κ = 0.85 (casi perfecto). Partición matemática exacta de 12 celdas disjuntas.</w:t>
      </w:r>
    </w:p>
    <w:p>
      <w:pPr>
        <w:keepNext/>
        <w:spacing w:before="120" w:after="40"/>
        <w:jc w:val="center"/>
      </w:pPr>
      <w:r>
        <w:drawing>
          <wp:inline xmlns:a="http://schemas.openxmlformats.org/drawingml/2006/main" xmlns:pic="http://schemas.openxmlformats.org/drawingml/2006/picture">
            <wp:extent cx="3063240" cy="1687821"/>
            <wp:docPr id="4" name="Picture 4"/>
            <wp:cNvGraphicFramePr>
              <a:graphicFrameLocks noChangeAspect="1"/>
            </wp:cNvGraphicFramePr>
            <a:graphic>
              <a:graphicData uri="http://schemas.openxmlformats.org/drawingml/2006/picture">
                <pic:pic>
                  <pic:nvPicPr>
                    <pic:cNvPr id="0" name="fig4_burbujas_disenos_datasets.png"/>
                    <pic:cNvPicPr/>
                  </pic:nvPicPr>
                  <pic:blipFill>
                    <a:blip r:embed="rId12"/>
                    <a:stretch>
                      <a:fillRect/>
                    </a:stretch>
                  </pic:blipFill>
                  <pic:spPr>
                    <a:xfrm>
                      <a:off x="0" y="0"/>
                      <a:ext cx="3063240" cy="1687821"/>
                    </a:xfrm>
                    <a:prstGeom prst="rect"/>
                  </pic:spPr>
                </pic:pic>
              </a:graphicData>
            </a:graphic>
          </wp:inline>
        </w:drawing>
      </w:r>
    </w:p>
    <w:p>
      <w:pPr>
        <w:spacing w:before="40" w:after="120"/>
        <w:jc w:val="both"/>
      </w:pPr>
      <w:r>
        <w:rPr>
          <w:rFonts w:ascii="Times New Roman" w:hAnsi="Times New Roman"/>
          <w:b/>
          <w:sz w:val="17"/>
        </w:rPr>
        <w:t xml:space="preserve">Fig. 4. </w:t>
      </w:r>
      <w:r>
        <w:rPr>
          <w:rFonts w:ascii="Times New Roman" w:hAnsi="Times New Roman"/>
          <w:sz w:val="17"/>
        </w:rPr>
        <w:t xml:space="preserve">Gráfico de burbujas del mapeo sistemático (Petersen et al. [138]): Diseño Metodológico vs. Tipología de Dataset (PD3, N = 131). </w:t>
      </w:r>
      <w:r>
        <w:rPr>
          <w:rFonts w:ascii="Times New Roman" w:hAnsi="Times New Roman"/>
          <w:sz w:val="16"/>
        </w:rPr>
        <w:t xml:space="preserve">El área de cada burbuja es proporcional al número de estudios primarios (n); porcentajes sobre la totalidad del corpus.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PD3): </w:t>
      </w:r>
      <w:r>
        <w:rPr>
          <w:rFonts w:ascii="Times New Roman" w:hAnsi="Times New Roman"/>
          <w:i w:val="0"/>
          <w:sz w:val="19"/>
        </w:rPr>
        <w:t>Ciento treinta y un artículos (100.0 % del corpus; [3]–[133]) respondieron a la relación entre los diseños metodológicos de investigación y las tipologías de conjuntos de datos evaluados (PD3). Mediante la matriz de mapeo sistemático de Petersen et al. [138] y con un acuerdo de fiabilidad test-retest de κ = 0.85, se determinó un predominio estructural de experimentos controlados sobre bancos de datos públicos abiertos, en contraste con una baja proporción de casos de estudio reales integrados en producción corporativa (TABLA XVI, Fig. 4).</w:t>
      </w:r>
    </w:p>
    <w:p>
      <w:pPr>
        <w:spacing w:line="240" w:lineRule="auto" w:before="0" w:after="80"/>
        <w:jc w:val="both"/>
      </w:pPr>
      <w:r>
        <w:rPr>
          <w:rFonts w:ascii="Times New Roman" w:hAnsi="Times New Roman"/>
          <w:b/>
          <w:sz w:val="19"/>
        </w:rPr>
        <w:t xml:space="preserve">2) Desarrollo por Categoría y Cruce Matricial: </w:t>
      </w:r>
      <w:r>
        <w:rPr>
          <w:rFonts w:ascii="Times New Roman" w:hAnsi="Times New Roman"/>
          <w:i w:val="0"/>
          <w:sz w:val="19"/>
        </w:rPr>
        <w:t>La matriz cruzada evidencia tres núcleos de trabajo:</w:t>
        <w:br/>
        <w:t>a) Predominio del diseño experimental controlado: Ochenta y dos estudios (62.6 % del corpus; TABLA XVI) adoptaron un diseño experimental estricto con grupos o modelos baselines de control bajo condiciones reproducibles de laboratorio [3]–[6], [14], [28], [32], [67], [80], [92], de los cuales 48 estudios (36.6 % global) se apoyaron exclusivamente en benchmarks públicos (SROIE, FUNSD, CORD, DocBank).</w:t>
        <w:br/>
        <w:t>b) Desarrollo de artefactos y pruebas de concepto (PoC): Treinta y un estudios (23.7 %; [79], [95], [97], [100], [102], [112], [117]–[124]) se centraron en construir prototipos o arquitecturas especializadas validadas de forma acotada, donde 11 estudios (8.4 %) recurrieron a datos privados propietarios sin someter el artefacto a estrés de producción concurrente.</w:t>
        <w:br/>
        <w:t>c) Validación en conjuntos de datos corporativos y mixtos: Treinta y ocho estudios (29.0 %) fueron validados enteramente sobre datos privados corporativos y 25 estudios (19.1 %) aplicaron esquemas mixtos con ajuste fino y validación final sobre facturas y órdenes de compra de organizaciones ([16], [25], [38], [65], [66], [68]).</w:t>
      </w:r>
    </w:p>
    <w:p>
      <w:pPr>
        <w:spacing w:line="240" w:lineRule="auto" w:before="0" w:after="80"/>
        <w:jc w:val="both"/>
      </w:pPr>
      <w:r>
        <w:rPr>
          <w:rFonts w:ascii="Times New Roman" w:hAnsi="Times New Roman"/>
          <w:b/>
          <w:sz w:val="19"/>
        </w:rPr>
        <w:t xml:space="preserve">3) Contrastes y Vacíos en Casos de Estudio Reales: </w:t>
      </w:r>
      <w:r>
        <w:rPr>
          <w:rFonts w:ascii="Times New Roman" w:hAnsi="Times New Roman"/>
          <w:i w:val="0"/>
          <w:sz w:val="19"/>
        </w:rPr>
        <w:t>El contraste más crítico revelado por el mapeo sistemático reside en la extrema escasez de casos de estudio reales en producción corporativa, los cuales representan únicamente el 6.1 % del corpus (8 de 131 estudios; [64], [70], [75], [84], [103], [117], [127], [131]). A pesar de que la literatura reporta precisiones teóricas superiores al 95 % en benchmarks abiertos [3], [6], [7], [67], [80], los autores que implementaron soluciones dentro de entornos empresariales operativos enfrentaron barreras que no aparecen en las pruebas experimentales: restricciones de confidencialidad de datos bajo regulaciones de protección financiera [64], [116], necesidad de intervención humana en el bucle (Human-in-the-Loop) para mitigar alucinaciones de LLMs en montos contables [4], [13], [22] y complejas interfaces de integración con sistemas legados ERP [70], [127].</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Existe una brecha de transferencia tecnológica: la comunidad científica ha priorizado el benchmarking sobre tres datasets públicos icónicos frente a la validación empírica en flujos empresariales vivos. Al excluir los 10 estudios del estrato inferior de calidad (QA = 3.5; [116]–[118], [121]–[123], [127], [128], [132], [133]), los experimentos controlados se consolidaron en el 65.3 % (79 de 121 estudios), ratificando que la evidencia técnica del área descansa sobre pruebas comparativas de laboratorio metodológicamente rigurosas.</w:t>
      </w:r>
    </w:p>
    <w:p>
      <w:pPr>
        <w:keepNext/>
        <w:spacing w:before="160" w:after="40"/>
        <w:jc w:val="left"/>
      </w:pPr>
      <w:r>
        <w:rPr>
          <w:rFonts w:ascii="Times New Roman" w:hAnsi="Times New Roman"/>
          <w:b/>
          <w:i/>
          <w:sz w:val="19"/>
        </w:rPr>
        <w:t>E. Evaluación de Calidad Metodológica (QA) e Integración al Análisis (Paso 6)</w:t>
      </w:r>
    </w:p>
    <w:p>
      <w:pPr>
        <w:spacing w:line="240" w:lineRule="auto" w:before="0" w:after="80"/>
        <w:jc w:val="both"/>
      </w:pPr>
      <w:r>
        <w:rPr>
          <w:rFonts w:ascii="Times New Roman" w:hAnsi="Times New Roman"/>
          <w:i w:val="0"/>
          <w:sz w:val="19"/>
        </w:rPr>
        <w:t>Para jerarquizar el grado de solidez empírica de la evidencia y preparar formalmente el insumo para el Análisis de Sensibilidad (Paso 8), se examinó la totalidad del corpus primario bajo el instrumento de cinco preguntas de calidad metodológica (QA1 a QA5) de Kitchenham &amp; Charters (2007) [1]. La evaluación de fiabilidad test-retest ciego sobre la muestra del 20.6 % (n = 27 estudios) reportó un coeficiente Kappa ponderado cuadrático de Cohen κw = 0.89 (acuerdo casi perfecto para escalas ordinales). La estratificación de los puntajes y la tasa de cumplimiento por criterio se exponen en la TABLA XVII y la Fig. 5.</w:t>
      </w:r>
    </w:p>
    <w:p>
      <w:pPr>
        <w:keepNext/>
        <w:spacing w:before="140" w:after="20"/>
        <w:jc w:val="center"/>
      </w:pPr>
      <w:r>
        <w:rPr>
          <w:rFonts w:ascii="Times New Roman" w:hAnsi="Times New Roman"/>
          <w:b/>
          <w:sz w:val="16"/>
        </w:rPr>
        <w:t>TABLA XVII</w:t>
        <w:br/>
      </w:r>
      <w:r>
        <w:rPr>
          <w:rFonts w:ascii="Times New Roman" w:hAnsi="Times New Roman"/>
          <w:sz w:val="16"/>
        </w:rPr>
        <w:t>ESTRATIFICACIÓN DE CALIDAD METODOLÓGICA (QA) Y ANÁLISIS DE CUMPLIMIENTO POR CRITERIO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Nivel de Calidad Metodológica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Rango de Puntaje (Máx. 5.0)</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en Corpus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Frecuencia Relativa (%)</w:t>
            </w:r>
          </w:p>
        </w:tc>
        <w:tc>
          <w:tcPr>
            <w:tcW w:type="dxa" w:w="20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Función Metodológica en la Síntesis</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Alta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 – 5.0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82.4 %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Núcleo empírico robusto para extracción y síntesis temática (PI1–PI4). Incluye los 4 estudios nucleares paradigmáticos con puntaje perfecto de 5.0 / 5.0 ([3], [4], [5], [6]).</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Media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Estudios que satisfacen el protocolo con cumplimientos parciales menores; retenidos en el análisis de sensibilidad.</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Moderada / Estrato Inferior*</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3.5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Grupo de exclusión temporal en el Análisis de Sensibilidad (Paso 8): [116], [117], [118], [121], [122], [123], [127], [128], [132], [133].</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Media = 4.61 / 5.00</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c>
          <w:tcPr>
            <w:tcW w:type="dxa" w:w="208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Mínimo registrado: 3.50 pts; Máximo: 5.00 pts; Desviación estándar: ±0.41 pts.</w:t>
            </w:r>
          </w:p>
        </w:tc>
      </w:tr>
    </w:tbl>
    <w:p>
      <w:pPr>
        <w:spacing w:before="40" w:after="120"/>
        <w:jc w:val="left"/>
      </w:pPr>
      <w:r>
        <w:rPr>
          <w:rFonts w:ascii="Times New Roman" w:hAnsi="Times New Roman"/>
          <w:i/>
          <w:sz w:val="16"/>
        </w:rPr>
        <w:t>* Nota: El estrato de 3.5 pts conforma la submuestra de prueba para el análisis de robustez de hallazgos. Ningún estudio incluido obtuvo calificación menor a 3.5 pts. Fuente: elaboración propia a partir del corpus primario [3]–[133].</w:t>
      </w:r>
    </w:p>
    <w:p>
      <w:pPr>
        <w:keepNext/>
        <w:spacing w:before="140" w:after="20"/>
        <w:jc w:val="center"/>
      </w:pPr>
      <w:r>
        <w:rPr>
          <w:rFonts w:ascii="Times New Roman" w:hAnsi="Times New Roman"/>
          <w:b/>
          <w:sz w:val="16"/>
        </w:rPr>
        <w:t>TABLA XVII (CONTINUACIÓN)</w:t>
        <w:br/>
      </w:r>
      <w:r>
        <w:rPr>
          <w:rFonts w:ascii="Times New Roman" w:hAnsi="Times New Roman"/>
          <w:sz w:val="16"/>
        </w:rPr>
        <w:t>ANÁLISIS DESAGREGADO DE CUMPLIMIENTO POR PREGUNTA QA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Criterio QA Evaluado</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Total (1.0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Parcial (0.5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Incumplimiento (0.0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Media por Criterio (sobre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QA1 (Objetivos y tipología documental definida)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131 (100.0 %)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1.000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QA2 (Detalle del dataset, volumen y particiones)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125 (95.4 %)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 (4.6 %)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0.977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QA3 (Arquitectura reproducible y código documentado)</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(75.6 %)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32 (24.4 %)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0.878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QA4 (Métricas cuantitativas formales reproducibles)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 (82.4 %)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(17.6 %)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0.912 / 1.0</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QA5 (Contraste empírico vs baselines / tradicional)</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89 (67.9 %)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42 (32.1 %)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0.840 / 1.0</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542111"/>
            <wp:docPr id="5" name="Picture 5"/>
            <wp:cNvGraphicFramePr>
              <a:graphicFrameLocks noChangeAspect="1"/>
            </wp:cNvGraphicFramePr>
            <a:graphic>
              <a:graphicData uri="http://schemas.openxmlformats.org/drawingml/2006/picture">
                <pic:pic>
                  <pic:nvPicPr>
                    <pic:cNvPr id="0" name="fig5_distribucion_qa_criterios.png"/>
                    <pic:cNvPicPr/>
                  </pic:nvPicPr>
                  <pic:blipFill>
                    <a:blip r:embed="rId13"/>
                    <a:stretch>
                      <a:fillRect/>
                    </a:stretch>
                  </pic:blipFill>
                  <pic:spPr>
                    <a:xfrm>
                      <a:off x="0" y="0"/>
                      <a:ext cx="3063240" cy="1542111"/>
                    </a:xfrm>
                    <a:prstGeom prst="rect"/>
                  </pic:spPr>
                </pic:pic>
              </a:graphicData>
            </a:graphic>
          </wp:inline>
        </w:drawing>
      </w:r>
    </w:p>
    <w:p>
      <w:pPr>
        <w:spacing w:before="40" w:after="120"/>
        <w:jc w:val="both"/>
      </w:pPr>
      <w:r>
        <w:rPr>
          <w:rFonts w:ascii="Times New Roman" w:hAnsi="Times New Roman"/>
          <w:b/>
          <w:sz w:val="17"/>
        </w:rPr>
        <w:t xml:space="preserve">Fig. 5. </w:t>
      </w:r>
      <w:r>
        <w:rPr>
          <w:rFonts w:ascii="Times New Roman" w:hAnsi="Times New Roman"/>
          <w:sz w:val="17"/>
        </w:rPr>
        <w:t xml:space="preserve">Evaluación de Calidad Metodológica (Kitchenham &amp; Charters [1]) y vulnerabilidad por criterio (N = 131). </w:t>
      </w:r>
      <w:r>
        <w:rPr>
          <w:rFonts w:ascii="Times New Roman" w:hAnsi="Times New Roman"/>
          <w:sz w:val="16"/>
        </w:rPr>
        <w:t xml:space="preserve">(a) Estratificación de estudios según calidad; (b) Desglose de cumplimiento total vs. parcial en QA1–QA5.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Hallazgos del Control de Calidad y Protocolo de Aislamiento: </w:t>
      </w:r>
      <w:r>
        <w:rPr>
          <w:rFonts w:ascii="Times New Roman" w:hAnsi="Times New Roman"/>
          <w:i w:val="0"/>
          <w:sz w:val="19"/>
        </w:rPr>
        <w:t>La calidad metodológica global del corpus es sobresaliente (media = 4.61 / 5.00 pts; 82.4 % en calidad alta). Los criterios QA1 (1.000) y QA2 (0.977) exhibieron cumplimiento prácticamente óptimo en la totalidad de artículos. Por el contrario, la mayor debilidad empírica residió en el criterio QA5 (contraste empírico explícito frente a líneas base tradicionales), con 42 estudios que obtuvieron puntaje parcial (32.1 %; media 0.840), seguido de QA3 (especificación de hiperparámetros y reproducibilidad) con 32 cumplimientos parciales (24.4 %; media 0.878). Los 10 estudios calificados con QA = 3.50 puntos ([116], [117], [118], [121], [122], [123], [127], [128], [132], [133]) conforman el grupo aislado para el test de robustez.</w:t>
      </w:r>
    </w:p>
    <w:p>
      <w:pPr>
        <w:keepNext/>
        <w:spacing w:before="160" w:after="40"/>
        <w:jc w:val="left"/>
      </w:pPr>
      <w:r>
        <w:rPr>
          <w:rFonts w:ascii="Times New Roman" w:hAnsi="Times New Roman"/>
          <w:b/>
          <w:i/>
          <w:sz w:val="19"/>
        </w:rPr>
        <w:t>F. Taxonomía de Familias Algorítmicas y Enfoques de IA (PI1)</w:t>
      </w:r>
    </w:p>
    <w:p>
      <w:pPr>
        <w:spacing w:line="240" w:lineRule="auto" w:before="0" w:after="80"/>
        <w:jc w:val="both"/>
      </w:pPr>
      <w:r>
        <w:rPr>
          <w:rFonts w:ascii="Times New Roman" w:hAnsi="Times New Roman"/>
          <w:i w:val="0"/>
          <w:sz w:val="19"/>
        </w:rPr>
        <w:t>Para determinar cuáles son las familias algorítmicas y arquitecturas neuronales predominantes en la literatura entre 2020 y 2025/2026, se ejecutó una síntesis temática (Thomas &amp; Harden [134]; Cruzes &amp; Dybå [135]) sobre los 105 estudios primarios que abordan explícitamente el modelado de IA para procesamiento de documentos de negocio (80.2 % del corpus). La asignación taxonómica bajo protocolo de fiabilidad test-retest ciego sobre la muestra aleatoria del 20.6 % (n = 27 estudios) reportó un coeficiente Kappa de Cohen κ = 0.88 (Po = 92.6 %, Pe = 0.380), evidenciando una consistencia metodológica casi perfecta bajo las directrices del Checklist 9.2.F. Los hallazgos cuantitativos se resumen en la TABLA XVIII y se ilustran en la Fig. 6.</w:t>
      </w:r>
    </w:p>
    <w:p>
      <w:pPr>
        <w:keepNext/>
        <w:spacing w:before="140" w:after="20"/>
        <w:jc w:val="center"/>
      </w:pPr>
      <w:r>
        <w:rPr>
          <w:rFonts w:ascii="Times New Roman" w:hAnsi="Times New Roman"/>
          <w:b/>
          <w:sz w:val="16"/>
        </w:rPr>
        <w:t>TABLA XVIII</w:t>
        <w:br/>
      </w:r>
      <w:r>
        <w:rPr>
          <w:rFonts w:ascii="Times New Roman" w:hAnsi="Times New Roman"/>
          <w:sz w:val="16"/>
        </w:rPr>
        <w:t>TAXONOMÍA DE FAMILIAS ALGORÍTMICAS Y ENFOQUES DE INTELIGENCIA ARTIFICIAL (PI1) (N = 105)</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Familia Algorítmica / Enfoque IA</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Descripción Técnica Estandarizada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Asignados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Híbridos CNN-RNN y Segmentación Clásica con OCR</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convolucionales (ResNet, VGG, YOLO, Mask R-CNN) combinados con recurrentes (LSTM) y motores OCR para detección de regiones y tablas.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 [10]–[12], [14]–[16], [20], [23], [28], [31]–[33], [35], [39], [45], [48], [49], [53]–[55], [57]–[62], [67]–[73], [78], [83]–[85], [88], [91], [93], [95], [98]–[100], [103], [104], [106], [108]–[111], [117], [118], [122], [124]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53.3 %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Transformers Multimodales y Modelos Visión-Lenguaje (VLM)</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Modelado conjunto de texto, coordenadas espaciales 2D (bounding boxes) y parches visuales (LayoutLMv2/v3, StrucTexT, BROS, Bi-VLDoc).</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[7], [9], [13], [18], [21], [26], [30], [36], [38], [42], [43], [47], [50], [56], [74], [76], [77], [90], [92], [96], [114]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21.0 %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Redes Neuronales de Grafos y Modelado Espacial-Relacional (GNN)</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Representación de palabras/bloques como nodos y relaciones espaciales/semánticas relativas como aristas (GCN, GAT, GraphIE).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 [29], [34], [40], [41], [44], [46], [51], [52], [63], [64], [66], [75], [105], [107], [123]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15.2 %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Generativos, LLMs y Adaptación Zero/Few-Shot</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fundacionales autorregresivos aplicados con prompt engineering, in-context learning o fine-tuning para extracción estructurada JSON.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[4], [17], [19], [22], [24], [25], [27], [37], [65], [82]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10.5 %</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Cobertura PI1</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Subconjunto verificado de estudios con PI1 = 1</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[3]–[124] (105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105</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 Partición temática unívoca auditada y verificada.</w:t>
      </w:r>
    </w:p>
    <w:p>
      <w:pPr>
        <w:keepNext/>
        <w:spacing w:before="120" w:after="40"/>
        <w:jc w:val="center"/>
      </w:pPr>
      <w:r>
        <w:drawing>
          <wp:inline xmlns:a="http://schemas.openxmlformats.org/drawingml/2006/main" xmlns:pic="http://schemas.openxmlformats.org/drawingml/2006/picture">
            <wp:extent cx="3063240" cy="1310561"/>
            <wp:docPr id="6" name="Picture 6"/>
            <wp:cNvGraphicFramePr>
              <a:graphicFrameLocks noChangeAspect="1"/>
            </wp:cNvGraphicFramePr>
            <a:graphic>
              <a:graphicData uri="http://schemas.openxmlformats.org/drawingml/2006/picture">
                <pic:pic>
                  <pic:nvPicPr>
                    <pic:cNvPr id="0" name="fig6_taxonomia_algoritmos.png"/>
                    <pic:cNvPicPr/>
                  </pic:nvPicPr>
                  <pic:blipFill>
                    <a:blip r:embed="rId14"/>
                    <a:stretch>
                      <a:fillRect/>
                    </a:stretch>
                  </pic:blipFill>
                  <pic:spPr>
                    <a:xfrm>
                      <a:off x="0" y="0"/>
                      <a:ext cx="3063240" cy="1310561"/>
                    </a:xfrm>
                    <a:prstGeom prst="rect"/>
                  </pic:spPr>
                </pic:pic>
              </a:graphicData>
            </a:graphic>
          </wp:inline>
        </w:drawing>
      </w:r>
    </w:p>
    <w:p>
      <w:pPr>
        <w:spacing w:before="40" w:after="120"/>
        <w:jc w:val="both"/>
      </w:pPr>
      <w:r>
        <w:rPr>
          <w:rFonts w:ascii="Times New Roman" w:hAnsi="Times New Roman"/>
          <w:b/>
          <w:sz w:val="17"/>
        </w:rPr>
        <w:t xml:space="preserve">Fig. 6. </w:t>
      </w:r>
      <w:r>
        <w:rPr>
          <w:rFonts w:ascii="Times New Roman" w:hAnsi="Times New Roman"/>
          <w:sz w:val="17"/>
        </w:rPr>
        <w:t xml:space="preserve">Taxonomía de Familias Algorítmicas de IA en Procesamiento Documental (PI1, n = 105). </w:t>
      </w:r>
      <w:r>
        <w:rPr>
          <w:rFonts w:ascii="Times New Roman" w:hAnsi="Times New Roman"/>
          <w:sz w:val="16"/>
        </w:rPr>
        <w:t xml:space="preserve">Frecuencia absoluta y porcentaje relativo derivado de síntesis temática [134], [135].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PI1): </w:t>
      </w:r>
      <w:r>
        <w:rPr>
          <w:rFonts w:ascii="Times New Roman" w:hAnsi="Times New Roman"/>
          <w:i w:val="0"/>
          <w:sz w:val="19"/>
        </w:rPr>
        <w:t>Ciento cinco estudios primarios (80.2 % del corpus; TABLA XVIII, Fig. 6) respondieron a la identificación y taxonomía de las arquitecturas de IA aplicadas al procesamiento de documentos corporativos (PI1). Mediante síntesis temática estandarizada (Thomas &amp; Harden [134]; Cruzes &amp; Dybå [135]) y con un coeficiente de fiabilidad test-retest de κ = 0.88 sobre la submuestra del 20.6 % (n = 27), se identificaron cuatro familias algorítmicas mutuamente excluyentes, observándose un predominio de pipelines modulares basados en convolución y OCR neuronal, acompañados por una rápida consolidación de Transformers multimodales y modelos de visión-lenguaje (VLM).</w:t>
      </w:r>
    </w:p>
    <w:p>
      <w:pPr>
        <w:spacing w:line="240" w:lineRule="auto" w:before="0" w:after="80"/>
        <w:jc w:val="both"/>
      </w:pPr>
      <w:r>
        <w:rPr>
          <w:rFonts w:ascii="Times New Roman" w:hAnsi="Times New Roman"/>
          <w:b/>
          <w:sz w:val="19"/>
        </w:rPr>
        <w:t xml:space="preserve">2.1. Pipelines Híbridos CNN-RNN y Segmentación Clásica con OCR: </w:t>
      </w:r>
      <w:r>
        <w:rPr>
          <w:rFonts w:ascii="Times New Roman" w:hAnsi="Times New Roman"/>
          <w:i w:val="0"/>
          <w:sz w:val="19"/>
        </w:rPr>
        <w:t>Esta arquitectura comprende la articulación secuencial de redes neuronales convolucionales (ResNet, VGG, YOLO, Mask R-CNN) para la detección de regiones y tablas, combinadas con capas recurrentes (LSTM) y motores de reconocimiento óptico de caracteres para la extracción de texto en documentos estructurados. La familia agrupa a cincuenta y seis estudios primarios (53.3 % del subconjunto de PI1; [5], [10]–[12], [14]–[16], [20], [23], [28], [31]–[33], [35], [39], [45], [48], [49], [53]–[55], [57]–[62], [67]–[73], [78], [83]–[85], [88], [91], [93], [95], [98]–[100], [103], [104], [106], [108]–[111], [117], [118], [122], [124]). Las investigaciones convergen en que la modularización por etapas permite desacoplar la detección geométrica de tablas de la transcripción textual, facilitando la depuración y auditoría interna en entornos productivos locales [10], [15], [33], [54], [67], [84], [104]. Cuantitativamente, estos pipelines alcanzan latencias de inferencia de 80 ms a 250 ms en CPUs estándar con exactitudes de segmentación entre el 88.5 % y el 96.0 % en documentos de plantilla predecible. El 85.7 % de los estudios (48 de 56) ostenta calidad metodológica alta (QA &gt;= 4.5), confiriendo al hallazgo un dictamen de Alta Certeza bajo el marco GRADE-CERQual.</w:t>
      </w:r>
    </w:p>
    <w:p>
      <w:pPr>
        <w:spacing w:line="240" w:lineRule="auto" w:before="0" w:after="80"/>
        <w:jc w:val="both"/>
      </w:pPr>
      <w:r>
        <w:rPr>
          <w:rFonts w:ascii="Times New Roman" w:hAnsi="Times New Roman"/>
          <w:b/>
          <w:sz w:val="19"/>
        </w:rPr>
        <w:t xml:space="preserve">2.2. Transformers Multimodales y Modelos Visión-Lenguaje (VLM): </w:t>
      </w:r>
      <w:r>
        <w:rPr>
          <w:rFonts w:ascii="Times New Roman" w:hAnsi="Times New Roman"/>
          <w:i w:val="0"/>
          <w:sz w:val="19"/>
        </w:rPr>
        <w:t>Esta familia integra arquitecturas de atención profunda autorregresiva y bidireccional que fusionan simultáneamente la información textual, la disposición geométrica espacial 2D (bounding boxes) y los parches visuales del documento dentro de un espacio latente unificado (LayoutLMv2/v3, StrucTexT, BROS, Bi-VLDoc). Reúne veintidós estudios primarios (21.0 % de PI1; [6], [7], [9], [13], [18], [21], [26], [30], [36], [38], [42], [43], [47], [50], [56], [74], [76], [77], [90], [92], [96], [114]). Los autores demuestran consistentemente que la incorporación del contexto visual y espacial permite resolver la extracción de entidades clave (KIE) en comprobantes fiscales con diagramación variable sin requerir plantillas fijas [6], [13], [36], [42], [76], [92]. En términos cuantitativos, reportan puntuaciones de F1-score entre el 92.4 % y el 98.7 % en datasets estándar como SROIE y CORD. El 100.0 % de las publicaciones (22 de 22) se ubica en el estrato de calidad metodológica alta (QA &gt;= 4.5), respaldando un dictamen de Alta Certeza GRADE-CERQual para el modelado de documentos semiestructurados complejos.</w:t>
      </w:r>
    </w:p>
    <w:p>
      <w:pPr>
        <w:spacing w:line="240" w:lineRule="auto" w:before="0" w:after="80"/>
        <w:jc w:val="both"/>
      </w:pPr>
      <w:r>
        <w:rPr>
          <w:rFonts w:ascii="Times New Roman" w:hAnsi="Times New Roman"/>
          <w:b/>
          <w:sz w:val="19"/>
        </w:rPr>
        <w:t xml:space="preserve">2.3. Redes Neuronales de Grafos y Modelado Espacial-Relacional (GNN): </w:t>
      </w:r>
      <w:r>
        <w:rPr>
          <w:rFonts w:ascii="Times New Roman" w:hAnsi="Times New Roman"/>
          <w:i w:val="0"/>
          <w:sz w:val="19"/>
        </w:rPr>
        <w:t>Este paradigma representa los fragmentos y palabras del documento como nodos dentro de un grafo planar no dirigido o dirigido, cuyas aristas codifican relaciones de adyacencia espacial, distancias euclidianas y dependencias semánticas relativas (GCN, GAT, GraphIE). Comprende dieciséis estudios primarios (15.2 % de PI1; [8], [29], [34], [40], [41], [44], [46], [51], [52], [63], [64], [66], [75], [105], [107], [123]). La literatura coincide en que las redes de grafos capturan de forma sobresaliente el flujo de lectura no lineal y la estructura reticular de facturas abiertas y recibos deformados [8], [34], [40], [51], [64], [105]. En las evaluaciones numéricas exhiben precisiones de emparejamiento clave-valor de 88.0 % a 95.8 % con una reducción de hasta el 40 % en parámetros entrenables frente a transformadores masivos. El 93.8 % de los estudios (15 de 16) pertenece al rango de calidad metodológica alta (QA &gt;= 4.5), alcanzando una calificación de Alta Certeza GRADE-CERQual en la estructuración de tablas financieras complejas.</w:t>
      </w:r>
    </w:p>
    <w:p>
      <w:pPr>
        <w:spacing w:line="240" w:lineRule="auto" w:before="0" w:after="80"/>
        <w:jc w:val="both"/>
      </w:pPr>
      <w:r>
        <w:rPr>
          <w:rFonts w:ascii="Times New Roman" w:hAnsi="Times New Roman"/>
          <w:b/>
          <w:sz w:val="19"/>
        </w:rPr>
        <w:t xml:space="preserve">2.4. Modelos de Lenguaje Generativos, LLMs y Adaptación Zero/Few-Shot: </w:t>
      </w:r>
      <w:r>
        <w:rPr>
          <w:rFonts w:ascii="Times New Roman" w:hAnsi="Times New Roman"/>
          <w:i w:val="0"/>
          <w:sz w:val="19"/>
        </w:rPr>
        <w:t>Esta categoría abarca el empleo de modelos fundacionales de lenguaje de gran escala (LLMs) y modelos generativos multimodales operados mediante técnicas de ingeniería de prompts, aprendizaje en contexto (in-context learning) y ajuste fino para la extracción y estructuración directa de documentos en esquemas JSON o XML. Concentra once estudios primarios (10.5 % de PI1; [3], [4], [17], [19], [22], [24], [25], [27], [37], [65], [82]). Los estudios evidencian una capacidad sin precedentes para procesar documentos nunca antes vistos sin entrenamiento previo, extrayendo campos implícitos mediante inferencia semántica contextual [3], [4], [19], [22], [27], [82]. Los resultados cuantitativos revelan precisiones de extracción entre el 85.0 % y el 94.2 % en esquemas zero-shot, aunque con tiempos de respuesta que oscilan entre 800 ms y 2500 ms por página. El 100.0 % de los artículos (11 de 11) exhibe calidad metodológica alta (QA &gt;= 4.5), si bien la certeza bajo el marco GRADE-CERQual se dictamina como Moderada debido a la dependencia de conectividad externa a APIs propietarias y el costo computacional asociado.</w:t>
      </w:r>
    </w:p>
    <w:p>
      <w:pPr>
        <w:spacing w:line="240" w:lineRule="auto" w:before="0" w:after="80"/>
        <w:jc w:val="both"/>
      </w:pPr>
      <w:r>
        <w:rPr>
          <w:rFonts w:ascii="Times New Roman" w:hAnsi="Times New Roman"/>
          <w:b/>
          <w:sz w:val="19"/>
        </w:rPr>
        <w:t xml:space="preserve">3) Contrastes y Debates de Rendimiento: </w:t>
      </w:r>
      <w:r>
        <w:rPr>
          <w:rFonts w:ascii="Times New Roman" w:hAnsi="Times New Roman"/>
          <w:i w:val="0"/>
          <w:sz w:val="19"/>
        </w:rPr>
        <w:t>Se constata una controversia técnica estructural entre tres posturas documentadas directamente en la literatura:</w:t>
        <w:br/>
        <w:t>a) Eficiencia computacional y bajo costo en CPU local: Diversas investigaciones sostienen que los pipelines modulares basados en convolución y OCR representan la alternativa más viable para infraestructuras locales convencionales, logrando latencias ultra bajas (&lt;150 ms) y ejecutándose íntegramente en CPUs sin riesgo de fuga de datos hacia servicios en la nube [12], [54], [71], [88] (Iqbal et al. [12]; Kim C.-Y. et al. [54]; Lee E. et al. [71]; Kiatphaisansophon et al. [88]).</w:t>
        <w:br/>
        <w:t>b) Flexibilidad y adaptabilidad mediante modelos de visión-lenguaje: Por el contrario, un conjunto representativo de estudios argumenta que los esquemas rígidos colapsan ante cualquier cambio imprevisto de diagramación, justificando el costo de aceleración por GPU que demandan los Transformers multimodales y VLMs debido a su capacidad intrínseca de generalización zero-shot [3], [6], [9], [13], [22] (Wei et al. [3]; Mifsud et al. [6]; Luo C. et al. [9]; Wang Y. et al. [13]; Tanasa &amp; Oprea [22]).</w:t>
        <w:br/>
        <w:t>c) Riesgos de alucinación semántica y costos de inferencia en LLMs: En una postura de contraste crítico, diversas evaluaciones advierten que la inferencia puramente autorregresiva de los LLMs introduce una vulnerabilidad latente de alucinación numérica en montos contables y códigos fiscales, requiriendo validadores sintácticos adicionales que incrementan la latencia total del flujo de procesamiento [17], [27], [37] (Abdalla et al. [17]; Lin Y.M. et al. [27]; Chen Z. et al. [37]).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transita hacia una convergencia híbrida: modelos ligeros de visión-lenguaje desacoplados (Lightweight VLMs) combinados con verificadores basados en reglas. Al excluir del análisis los 4 estudios con QA = 3.5 que integran PI1 ([117], [118], [122], [123]), los pipelines híbridos CNN-RNN pasaron de 56 (53.3 %) a 53 de 101 estudios (52.5 %, variación de -0.8 %), los Transformers/VLMs se situaron en 22 de 101 (21.8 %, variación de +0.8 %), las redes GNN en 15 de 101 (14.9 %, variación de -0.3 %) y los LLMs en 11 de 101 (10.9 %, variación de +0.4 %), demostrando que la jerarquía taxonómica de las cuatro familias algorítmicas se mantiene enteramente inalterada y libre de sesgos de agregación.</w:t>
      </w:r>
    </w:p>
    <w:p>
      <w:pPr>
        <w:keepNext/>
        <w:spacing w:before="160" w:after="40"/>
        <w:jc w:val="left"/>
      </w:pPr>
      <w:r>
        <w:rPr>
          <w:rFonts w:ascii="Times New Roman" w:hAnsi="Times New Roman"/>
          <w:b/>
          <w:i/>
          <w:sz w:val="19"/>
        </w:rPr>
        <w:t>G. Rendimiento Cuantitativo de las Soluciones IA en Benchmarks (PI2)</w:t>
      </w:r>
    </w:p>
    <w:p>
      <w:pPr>
        <w:spacing w:line="240" w:lineRule="auto" w:before="0" w:after="80"/>
        <w:jc w:val="both"/>
      </w:pPr>
      <w:r>
        <w:rPr>
          <w:rFonts w:ascii="Times New Roman" w:hAnsi="Times New Roman"/>
          <w:i w:val="0"/>
          <w:sz w:val="19"/>
        </w:rPr>
        <w:t>Para cuantificar el rendimiento técnico alcanzado por las soluciones de IA, se aplicó la síntesis narrativa estructurada de Popay et al. (2006) [136] sobre los 117 estudios que reportan métricas numéricas formales (89.3 % del corpus). Para salvaguardar la validez metodológica, no se promediaron métricas entre conjuntos de datos incompatibles, tabulando rangos empíricos [mín, máx] y medianas por benchmark estándar en la TABLA XIX y visualizándolos en la Fig. 7.</w:t>
      </w:r>
    </w:p>
    <w:p>
      <w:pPr>
        <w:keepNext/>
        <w:spacing w:before="140" w:after="20"/>
        <w:jc w:val="center"/>
      </w:pPr>
      <w:r>
        <w:rPr>
          <w:rFonts w:ascii="Times New Roman" w:hAnsi="Times New Roman"/>
          <w:b/>
          <w:sz w:val="16"/>
        </w:rPr>
        <w:t>TABLA XIX</w:t>
        <w:br/>
      </w:r>
      <w:r>
        <w:rPr>
          <w:rFonts w:ascii="Times New Roman" w:hAnsi="Times New Roman"/>
          <w:sz w:val="16"/>
        </w:rPr>
        <w:t>RENDIMIENTO CUANTITATIVO REPORTADO POR BENCHMARKS ESTÁNDAR Y TIPOLOGÍA DE DATOS (PI2) (N = 117)</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Benchmark / Tipología de Datos</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Dimensión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Métrica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Rango [mín, máx]</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Mediana</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Latencia Inferencia</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SROIE / CORD / Recibos Comerciales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Extracción de claves en recibos y facturas (Company, Date, Address, Total).</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48 estudios</w:t>
              <w:br/>
              <w:t>[4], [6], [7], [9], [15], [17], [20], [24], [28], [30], [34], [36]–[40], [43], [44], [49], [55], [57], [60], [64], [69], [72], [74], [75], [79], [82]–[84], [86], [88]–[91], [96], [97], [99], [100], [102], [107]–[109], [112], [115], [119], [129]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86.4 % – 98.7 %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95.2 %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80 ms – 450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FinTabNet / WTW / Tablas Financieras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Reconocimiento de estructura tabular (TSR), detección de celdas y filas anidadas.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42 estudios</w:t>
              <w:br/>
              <w:t>[3], [5], [8], [10]–[13], [16], [19], [25], [27], [31], [33], [35], [41], [45]–[48], [50]–[52], [54], [59], [61], [62], [65], [66], [71], [81], [87], [95], [101], [104]–[106], [113], [120], [125], [126], [130], [131]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TEDS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76.5 % – 96.2 %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89.8 %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150 ms – 890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FUNSD / Formularios Ruidosos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Comprensión de formularios administrativos con ruido visual y sellos superpuestos.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21 estudios</w:t>
              <w:br/>
              <w:t>[14], [18], [21]–[23], [26], [29], [42], [53], [56], [58], [63], [67], [68], [70], [73], [77], [80], [92], [94], [114]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72.1 % – 93.8 %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84.5 %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120 ms – 680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Flujos Corporativos Integrados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Validación sobre lotes continuos de documentos heterogéneos mixtos.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6 estudios</w:t>
              <w:br/>
              <w:t>[32], [78], [85], [93], [110], [111]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Exactitud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82.0 % – 94.5 %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90.1 %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300 ms – 1800 ms</w:t>
            </w:r>
          </w:p>
        </w:tc>
      </w:tr>
      <w:tr>
        <w:trPr>
          <w:cantSplit/>
        </w:trPr>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Total Cobertura PI2</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Subconjunto verificado de estudios con PI2 = 1</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[3]–[131] (117 estudios únicos)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72.1 % – 98.7 %</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r>
    </w:tbl>
    <w:p>
      <w:pPr>
        <w:spacing w:before="40" w:after="120"/>
        <w:jc w:val="left"/>
      </w:pPr>
      <w:r>
        <w:rPr>
          <w:rFonts w:ascii="Times New Roman" w:hAnsi="Times New Roman"/>
          <w:i/>
          <w:sz w:val="16"/>
        </w:rPr>
        <w:t>Fuente: elaboración propia a partir del corpus primario [3]–[133]. Síntesis estructurada Popay et al. [136].</w:t>
      </w:r>
    </w:p>
    <w:p>
      <w:pPr>
        <w:keepNext/>
        <w:spacing w:before="120" w:after="40"/>
        <w:jc w:val="center"/>
      </w:pPr>
      <w:r>
        <w:drawing>
          <wp:inline xmlns:a="http://schemas.openxmlformats.org/drawingml/2006/main" xmlns:pic="http://schemas.openxmlformats.org/drawingml/2006/picture">
            <wp:extent cx="3063240" cy="1431986"/>
            <wp:docPr id="7" name="Picture 7"/>
            <wp:cNvGraphicFramePr>
              <a:graphicFrameLocks noChangeAspect="1"/>
            </wp:cNvGraphicFramePr>
            <a:graphic>
              <a:graphicData uri="http://schemas.openxmlformats.org/drawingml/2006/picture">
                <pic:pic>
                  <pic:nvPicPr>
                    <pic:cNvPr id="0" name="fig7_rendimiento_benchmarks.png"/>
                    <pic:cNvPicPr/>
                  </pic:nvPicPr>
                  <pic:blipFill>
                    <a:blip r:embed="rId15"/>
                    <a:stretch>
                      <a:fillRect/>
                    </a:stretch>
                  </pic:blipFill>
                  <pic:spPr>
                    <a:xfrm>
                      <a:off x="0" y="0"/>
                      <a:ext cx="3063240" cy="1431986"/>
                    </a:xfrm>
                    <a:prstGeom prst="rect"/>
                  </pic:spPr>
                </pic:pic>
              </a:graphicData>
            </a:graphic>
          </wp:inline>
        </w:drawing>
      </w:r>
    </w:p>
    <w:p>
      <w:pPr>
        <w:spacing w:before="40" w:after="120"/>
        <w:jc w:val="both"/>
      </w:pPr>
      <w:r>
        <w:rPr>
          <w:rFonts w:ascii="Times New Roman" w:hAnsi="Times New Roman"/>
          <w:b/>
          <w:sz w:val="17"/>
        </w:rPr>
        <w:t xml:space="preserve">Fig. 7. </w:t>
      </w:r>
      <w:r>
        <w:rPr>
          <w:rFonts w:ascii="Times New Roman" w:hAnsi="Times New Roman"/>
          <w:sz w:val="17"/>
        </w:rPr>
        <w:t xml:space="preserve">Distribución Empírica de Rendimiento por Benchmark (Síntesis de Popay, PI2, n = 117). </w:t>
      </w:r>
      <w:r>
        <w:rPr>
          <w:rFonts w:ascii="Times New Roman" w:hAnsi="Times New Roman"/>
          <w:sz w:val="16"/>
        </w:rPr>
        <w:t xml:space="preserve">Cajas: rango intercuartil (Q1–Q3); línea roja: mediana empírica; líneas grises: dispersión total [mín, máx].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PI2): </w:t>
      </w:r>
      <w:r>
        <w:rPr>
          <w:rFonts w:ascii="Times New Roman" w:hAnsi="Times New Roman"/>
          <w:i w:val="0"/>
          <w:sz w:val="19"/>
        </w:rPr>
        <w:t>Ciento diecisiete estudios (89.3 % del corpus primario; TABLA XIX, Fig. 7) reportaron evaluaciones cuantitativas reproducibles sobre el rendimiento de soluciones de IA e IDP (PI2). Conforme al marco de síntesis de Popay et al. [136], las tasas de éxito globales exhiben un rango empírico de F1-score entre el 72.1 % y el 98.7 %, con desempeños marcadamente superiores en recibos y facturas estándar en comparación con formularios con alta degradación física y tablas complejas no delimitadas.</w:t>
      </w:r>
    </w:p>
    <w:p>
      <w:pPr>
        <w:spacing w:line="240" w:lineRule="auto" w:before="0" w:after="80"/>
        <w:jc w:val="both"/>
      </w:pPr>
      <w:r>
        <w:rPr>
          <w:rFonts w:ascii="Times New Roman" w:hAnsi="Times New Roman"/>
          <w:b/>
          <w:sz w:val="19"/>
        </w:rPr>
        <w:t xml:space="preserve">2.1. Recibos y Facturas Comerciales (Benchmarks SROIE y CORD): </w:t>
      </w:r>
      <w:r>
        <w:rPr>
          <w:rFonts w:ascii="Times New Roman" w:hAnsi="Times New Roman"/>
          <w:i w:val="0"/>
          <w:sz w:val="19"/>
        </w:rPr>
        <w:t>Esta categoría evalúa la extracción automatizada de campos semánticos clave fijos (KIE) tales como razón social, fecha de emisión, dirección comercial y monto total facturado sobre comprobantes comerciales y tickets de compra estándar. Agrupa a cuarenta y ocho estudios primarios (41.0 % de PI2; [4], [6], [7], [9], [15], [17], [20], [24], [28], [30], [34], [36]–[40], [43], [44], [49], [55], [57], [60], [64], [69], [72], [74], [75], [79], [82]–[84], [86], [88]–[91], [96], [97], [99], [100], [102], [107]–[109], [112], [115], [119], [129]). Los investigadores concluyen que la regularidad topológica y la presencia recurrente de encabezados estandarizados permiten a las arquitecturas neuronales alcanzar umbrales de precisión cercanos a la perfección operativa [6], [9], [36], [43], [74], [89], [96]. Registran la mediana de F1-score más alta de todo el corpus con un 95.2 % (rango empírico: 86.4 % a 98.7 %) y latencias medias de inferencia de 80 ms a 450 ms. El 93.8 % de los manuscritos (45 de 48) pertenece al estrato de calidad alta (QA &gt;= 4.5), sustentando un dictamen de Alta Certeza GRADE-CERQual para comprobantes estructurados.</w:t>
      </w:r>
    </w:p>
    <w:p>
      <w:pPr>
        <w:spacing w:line="240" w:lineRule="auto" w:before="0" w:after="80"/>
        <w:jc w:val="both"/>
      </w:pPr>
      <w:r>
        <w:rPr>
          <w:rFonts w:ascii="Times New Roman" w:hAnsi="Times New Roman"/>
          <w:b/>
          <w:sz w:val="19"/>
        </w:rPr>
        <w:t xml:space="preserve">2.2. Tablas Financieras y Estructuras Matriciales (Benchmarks FinTabNet y WTW): </w:t>
      </w:r>
      <w:r>
        <w:rPr>
          <w:rFonts w:ascii="Times New Roman" w:hAnsi="Times New Roman"/>
          <w:i w:val="0"/>
          <w:sz w:val="19"/>
        </w:rPr>
        <w:t>Esta tipología técnica aborda la detección de límites de tablas (Table Detection) y el reconocimiento de su estructura interna (Table Structure Recognition - TSR), requiriendo reconstruir celdas combinadas, filas matriciales y dependencias jerárquicas contables sin líneas visibles. Reúne cuarenta y dos estudios primarios (35.9 % de PI2; [3], [5], [8], [10]–[13], [16], [19], [25], [27], [31], [33], [35], [41], [45]–[48], [50]–[52], [54], [59], [61], [62], [65], [66], [71], [81], [87], [95], [101], [104]–[106], [113], [120], [125], [126], [130], [131]). Las publicaciones demuestran que las arquitecturas híbridas de grafos y visión espacial son superiores para capturar la continuidad semántica de celdas numéricas multilínea [5], [8], [12], [41], [51], [61], [71], [105]. La síntesis cuantitativa arrojó una mediana de Tree-Edit-Distance-based Similarity (TEDS) y F1-score del 89.8 % (rango empírico: 76.5 % a 96.2 %) con latencias entre 150 ms y 890 ms. El 88.1 % de los estudios (37 de 42) alcanzó calidad alta (QA &gt;= 4.5), confiriendo un nivel de certeza GRADE-CERQual de Alta en tablas formales y Moderada en matrices sin bordes explícitos.</w:t>
      </w:r>
    </w:p>
    <w:p>
      <w:pPr>
        <w:spacing w:line="240" w:lineRule="auto" w:before="0" w:after="80"/>
        <w:jc w:val="both"/>
      </w:pPr>
      <w:r>
        <w:rPr>
          <w:rFonts w:ascii="Times New Roman" w:hAnsi="Times New Roman"/>
          <w:b/>
          <w:sz w:val="19"/>
        </w:rPr>
        <w:t xml:space="preserve">2.3. Formularios Semiestructurados Ruidosos (Benchmark FUNSD): </w:t>
      </w:r>
      <w:r>
        <w:rPr>
          <w:rFonts w:ascii="Times New Roman" w:hAnsi="Times New Roman"/>
          <w:i w:val="0"/>
          <w:sz w:val="19"/>
        </w:rPr>
        <w:t>Esta categoría comprende el procesamiento y enlace de pares pregunta-respuesta (header-question-answer) sobre formularios administrativos caracterizados por ruido visual intrínseco, caligrafía, inclinaciones y sellos institucionales superpuestos. Concentra veintiún estudios primarios (17.9 % de PI2; [14], [18], [21]–[23], [26], [29], [42], [53], [56], [58], [63], [67], [68], [70], [73], [77], [80], [92], [94], [114]). Los grupos de investigación reportan que el deterioro tipográfico y la superposición de marcas físicas causan frecuentes desconexiones en los grafos y errores en la tokenización espacial de los modelos [14], [18], [23], [53], [67], [77], [92]. La mediana de F1-score se situó en 84.5 % (rango empírico: 72.1 % a 93.8 %), reflejando una caída de más de 10 puntos respecto a comprobantes estandarizados, con tiempos de respuesta entre 120 ms y 680 ms. El 95.2 % de las investigaciones (20 de 21) reporta calidad alta (QA &gt;= 4.5), si bien la certeza GRADE-CERQual se califica como Moderada debido a la dispersión de métricas observada ante distintos niveles de degradación visual.</w:t>
      </w:r>
    </w:p>
    <w:p>
      <w:pPr>
        <w:spacing w:line="240" w:lineRule="auto" w:before="0" w:after="80"/>
        <w:jc w:val="both"/>
      </w:pPr>
      <w:r>
        <w:rPr>
          <w:rFonts w:ascii="Times New Roman" w:hAnsi="Times New Roman"/>
          <w:b/>
          <w:sz w:val="19"/>
        </w:rPr>
        <w:t xml:space="preserve">2.4. Flujos Corporativos Integrados y Lotes Documentales Heterogéneos: </w:t>
      </w:r>
      <w:r>
        <w:rPr>
          <w:rFonts w:ascii="Times New Roman" w:hAnsi="Times New Roman"/>
          <w:i w:val="0"/>
          <w:sz w:val="19"/>
        </w:rPr>
        <w:t>Esta categoría técnica evalúa el comportamiento de pipelines integrales de IA frente a lotes transaccionales mixtos que agrupan continuamente documentos de tipología y calidad heterogénea en condiciones de producción empresarial real. Reúne seis estudios primarios (5.1 % de PI2; [32], [78], [85], [93], [110], [111]). Las evaluaciones demuestran que la integración de clasificadores documentales previos al módulo de extracción semántica permite enrutar eficientemente las tipologías hacia motores especializados, mitigando cuellos de botella [32], [78], [85], [93]. Registran una exactitud transaccional media del 90.1 % (rango empírico: 82.0 % a 94.5 %) con latencias completas por lote mixto que oscilan entre 300 ms y 1800 ms. El 50.0 % de los estudios (3 de 6) ostenta calidad alta (QA &gt;= 4.5), asignándose una certeza GRADE-CERQual Moderada en virtud del tamaño muestral acotado de estudios con lotes continuos en producción.</w:t>
      </w:r>
    </w:p>
    <w:p>
      <w:pPr>
        <w:spacing w:line="240" w:lineRule="auto" w:before="0" w:after="80"/>
        <w:jc w:val="both"/>
      </w:pPr>
      <w:r>
        <w:rPr>
          <w:rFonts w:ascii="Times New Roman" w:hAnsi="Times New Roman"/>
          <w:b/>
          <w:sz w:val="19"/>
        </w:rPr>
        <w:t xml:space="preserve">3) Contrastes y Discrepancias Métricas: </w:t>
      </w:r>
      <w:r>
        <w:rPr>
          <w:rFonts w:ascii="Times New Roman" w:hAnsi="Times New Roman"/>
          <w:i w:val="0"/>
          <w:sz w:val="19"/>
        </w:rPr>
        <w:t>Se evidencia un debate en torno a la transferibilidad de las métricas de rendimiento documentado en la literatura especializada:</w:t>
        <w:br/>
        <w:t>a) Rendimiento en bancos de prueba curados de laboratorio: Diversas evaluaciones experimentales exhiben puntuaciones que sobrepasan sistemáticamente el 97 % de F1-score en el benchmark SROIE bajo condiciones óptimas de iluminación y alineación [4], [6], [20], [67], [96] (Chen L.-C. et al. [4]; Mifsud et al. [6]; Yang X. [20]; Nguyen M.-T. et al. [67]; Cruz &amp; Castelli [96]).</w:t>
        <w:br/>
        <w:t>b) Degradación crítica ante documentos del mundo real: Por el contrario, los trabajos que contrastaron modelos sobre datos corporativos reales constataron caídas de rendimiento de entre 15 y 22 puntos porcentuales (descendiendo hasta un 78.4 % de F1-score) originadas por dobleces físicos, tintas térmicas desvanecidas y fondos ruidosos [15], [37], [53], [79], [108] (Alsayed et al. [15]; Chen Z. et al. [37]; Biesner et al. [53]; Chen Z. et al. [79]; Yeghiazaryan et al. [108]).</w:t>
        <w:br/>
        <w:t>c) Carencia de métricas estandarizadas de latencia bajo estrés operativo: A su vez, diversas investigaciones destacan que los benchmarks académicos suelen limitarse a evaluar F1-scores estáticos, omitiendo reportar el consumo de memoria RAM y la latencia bajo concurrencia transaccional [12], [64], [112] (Iqbal et al. [12]; Oral et al. [64]; Tata et al. [112]).</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El rendimiento de los modelos IDP es altamente dependiente del contraste visual del documento y la regularidad del diseño. Al ejecutar el análisis de sensibilidad excluyendo los 10 estudios con QA = 3.5, se constata que ninguno de ellos integra la partición cuantitativa de PI2 (intersección vacía, retención íntegra de los 117 estudios). Por consiguiente, la muestra se mantiene intacta en 117 estudios y la mediana de F1-score en facturación comercial (SROIE) permanece inalterada en 95.2 % (0.0 % de variación; rango [86.4 %–98.7 %]), confirmando que las métricas técnicas reportadas son totalmente inmunes a la literatura de menor rigor metodológico.</w:t>
      </w:r>
    </w:p>
    <w:p>
      <w:pPr>
        <w:keepNext/>
        <w:spacing w:before="160" w:after="40"/>
        <w:jc w:val="left"/>
      </w:pPr>
      <w:r>
        <w:rPr>
          <w:rFonts w:ascii="Times New Roman" w:hAnsi="Times New Roman"/>
          <w:b/>
          <w:i/>
          <w:sz w:val="19"/>
        </w:rPr>
        <w:t>H. Comparativa de Eficiencia vs. Métodos Tradicionales — Síntesis SWiM (PI3)</w:t>
      </w:r>
    </w:p>
    <w:p>
      <w:pPr>
        <w:spacing w:line="240" w:lineRule="auto" w:before="0" w:after="80"/>
        <w:jc w:val="both"/>
      </w:pPr>
      <w:r>
        <w:rPr>
          <w:rFonts w:ascii="Times New Roman" w:hAnsi="Times New Roman"/>
          <w:i w:val="0"/>
          <w:sz w:val="19"/>
        </w:rPr>
        <w:t>Para evaluar si las arquitecturas de IA superan fehacientemente al ingreso manual y al OCR convencional basado en plantillas, se implementó el método SWiM (Synthesis Without Meta-analysis) de Campbell et al. (2020) [137] mediante el conteo formal de votos sobre la dirección del efecto en los 82 estudios que incorporan un comparador explícito (62.6 % del corpus). La determinación bajo protocolo de fiabilidad test-retest ciego de la dirección del voto en SWiM sobre la muestra del 20.6 % (n = 27 estudios) reportó un coeficiente Kappa de Cohen κ = 0.86 (Po = 92.6 %, Pe = 0.470), confirmando un consenso metodológico casi perfecto para la síntesis comparativa. Los resultados se presentan en la TABLA XX y la Fig. 8.</w:t>
      </w:r>
    </w:p>
    <w:p>
      <w:pPr>
        <w:keepNext/>
        <w:spacing w:before="140" w:after="20"/>
        <w:jc w:val="center"/>
      </w:pPr>
      <w:r>
        <w:rPr>
          <w:rFonts w:ascii="Times New Roman" w:hAnsi="Times New Roman"/>
          <w:b/>
          <w:sz w:val="16"/>
        </w:rPr>
        <w:t>TABLA XX</w:t>
        <w:br/>
      </w:r>
      <w:r>
        <w:rPr>
          <w:rFonts w:ascii="Times New Roman" w:hAnsi="Times New Roman"/>
          <w:sz w:val="16"/>
        </w:rPr>
        <w:t>SÍNTESIS SWIM: CONTEO DE VOTOS DE DIRECCIÓN DEL EFECTO FRENTE A LÍNEAS BASE TRADICIONALES (PI3) (N = 82)</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Dimensión Operativa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Dirección del Efecto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Criterio Empírico de Clasificación</w:t>
            </w:r>
          </w:p>
        </w:tc>
        <w:tc>
          <w:tcPr>
            <w:tcW w:type="dxa" w:w="24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Asignados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Votos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Tiempo de Procesamiento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Mejora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Reducción de tiempo de ciclo &gt;= 60 % frente a digitación manual u OCR de plantillas.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[3]–[27], [29]–[36], [38]–[44], [46]–[53], [55], [57]–[63], [67], [76], [79]–[81], [87], [89], [94], [97], [101]–[103], [113], [116], [127]</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86.6 %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Exactitud y Tasa de Error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Sin diferencia (0)</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Paridad de exactitud o ganancia marginal &lt;= 2 % en documentos altamente estandarizados.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 [45], [54], [64], [86], [98], [112], [128]</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9.8 %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Carga Operativa y Escalabilidad</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Empeora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Mayor latencia o costo computacional en hardware restringido; re-trabajo por alucinaciones.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[37], [56], [121]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3.7 %</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Evidencia Comparativa PI3</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Subconjunto verificado de estudios con PI3 = 1</w:t>
            </w:r>
          </w:p>
        </w:tc>
        <w:tc>
          <w:tcPr>
            <w:tcW w:type="dxa" w:w="24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[3]–[128] (82 estudios únicos)</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Conteo de votos estructurado según directrices SWiM [137].</w:t>
      </w:r>
    </w:p>
    <w:p>
      <w:pPr>
        <w:keepNext/>
        <w:spacing w:before="120" w:after="40"/>
        <w:jc w:val="center"/>
      </w:pPr>
      <w:r>
        <w:drawing>
          <wp:inline xmlns:a="http://schemas.openxmlformats.org/drawingml/2006/main" xmlns:pic="http://schemas.openxmlformats.org/drawingml/2006/picture">
            <wp:extent cx="3063240" cy="1257102"/>
            <wp:docPr id="8" name="Picture 8"/>
            <wp:cNvGraphicFramePr>
              <a:graphicFrameLocks noChangeAspect="1"/>
            </wp:cNvGraphicFramePr>
            <a:graphic>
              <a:graphicData uri="http://schemas.openxmlformats.org/drawingml/2006/picture">
                <pic:pic>
                  <pic:nvPicPr>
                    <pic:cNvPr id="0" name="fig8_swim_barras_divergentes.png"/>
                    <pic:cNvPicPr/>
                  </pic:nvPicPr>
                  <pic:blipFill>
                    <a:blip r:embed="rId16"/>
                    <a:stretch>
                      <a:fillRect/>
                    </a:stretch>
                  </pic:blipFill>
                  <pic:spPr>
                    <a:xfrm>
                      <a:off x="0" y="0"/>
                      <a:ext cx="3063240" cy="1257102"/>
                    </a:xfrm>
                    <a:prstGeom prst="rect"/>
                  </pic:spPr>
                </pic:pic>
              </a:graphicData>
            </a:graphic>
          </wp:inline>
        </w:drawing>
      </w:r>
    </w:p>
    <w:p>
      <w:pPr>
        <w:spacing w:before="40" w:after="120"/>
        <w:jc w:val="both"/>
      </w:pPr>
      <w:r>
        <w:rPr>
          <w:rFonts w:ascii="Times New Roman" w:hAnsi="Times New Roman"/>
          <w:b/>
          <w:sz w:val="17"/>
        </w:rPr>
        <w:t xml:space="preserve">Fig. 8. </w:t>
      </w:r>
      <w:r>
        <w:rPr>
          <w:rFonts w:ascii="Times New Roman" w:hAnsi="Times New Roman"/>
          <w:sz w:val="17"/>
        </w:rPr>
        <w:t xml:space="preserve">Síntesis SWiM: Conteo de Votos de Efecto Frente a Métodos Tradicionales (PI3, n = 82). </w:t>
      </w:r>
      <w:r>
        <w:rPr>
          <w:rFonts w:ascii="Times New Roman" w:hAnsi="Times New Roman"/>
          <w:sz w:val="16"/>
        </w:rPr>
        <w:t xml:space="preserve">Gráfico de barras divergentes: Verde: Mejora (+1); Naranja: Paridad (0); Rojo: Empeora/Mayor costo (-1). Sincronización idéntica con TABLA XX (+71, 8, -3).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PI3): </w:t>
      </w:r>
      <w:r>
        <w:rPr>
          <w:rFonts w:ascii="Times New Roman" w:hAnsi="Times New Roman"/>
          <w:i w:val="0"/>
          <w:sz w:val="19"/>
        </w:rPr>
        <w:t>Ochenta y dos estudios primarios (62.6 % del corpus; TABLA XX, Fig. 8) contrastaron directamente las soluciones de IA e IDP frente a métodos manuales o sistemas convencionales de reglas (PI3). Aplicando la síntesis SWiM y conteo de votos de Campbell et al. [137], con un acuerdo de fiabilidad test-retest de κ = 0.86, se identificó un consenso empírico abrumador a favor de la IA, con un 86.6 % de votos favorables (71 de 82 estudios) que reportan mejoras estadísticamente significativas en velocidad, precisión y reducción de costos operativos frente al ingreso manual y al OCR de plantillas.</w:t>
      </w:r>
    </w:p>
    <w:p>
      <w:pPr>
        <w:spacing w:line="240" w:lineRule="auto" w:before="0" w:after="80"/>
        <w:jc w:val="both"/>
      </w:pPr>
      <w:r>
        <w:rPr>
          <w:rFonts w:ascii="Times New Roman" w:hAnsi="Times New Roman"/>
          <w:b/>
          <w:sz w:val="19"/>
        </w:rPr>
        <w:t xml:space="preserve">2.1. Reducción del Tiempo de Procesamiento y Latencia Operativa (Mejora +1): </w:t>
      </w:r>
      <w:r>
        <w:rPr>
          <w:rFonts w:ascii="Times New Roman" w:hAnsi="Times New Roman"/>
          <w:i w:val="0"/>
          <w:sz w:val="19"/>
        </w:rPr>
        <w:t>Esta dimensión evalúa la aceleración del tiempo de ciclo extremo a extremo lograda por las soluciones basadas en IA en comparación directa con los tiempos requeridos por la digitación manual y los sistemas OCR clásicos basados en plantillas rígidas. Concentra setenta y un estudios primarios (86.6 % de PI3; [3]–[27], [29]–[36], [38]–[44], [46]–[53], [55], [57]–[63], [67], [76], [79]–[81], [87], [89], [94], [97], [101]–[103], [113], [116], [127]). Los análisis cuantitativos demuestran de forma categórica que la automatización neuronal reduce el tiempo de ciclo en magnitudes que oscilan entre el 60 % y el 95 %, transformando procesos contables de días a segundos [3], [5], [11], [16], [39], [67], [80], [101]. La media de reducción de tiempo de procesamiento reportada alcanzó el 82.4 %, pasando de una media de 180 segundos por documento manual a menos de 1.2 segundos mediante IA. El 97.2 % de los estudios (69 de 71) ostenta calidad metodológica alta (QA &gt;= 4.5), confiriendo un dictamen de Alta Certeza GRADE-CERQual para la ganancia en velocidad transaccional.</w:t>
      </w:r>
    </w:p>
    <w:p>
      <w:pPr>
        <w:spacing w:line="240" w:lineRule="auto" w:before="0" w:after="80"/>
        <w:jc w:val="both"/>
      </w:pPr>
      <w:r>
        <w:rPr>
          <w:rFonts w:ascii="Times New Roman" w:hAnsi="Times New Roman"/>
          <w:b/>
          <w:sz w:val="19"/>
        </w:rPr>
        <w:t xml:space="preserve">2.2. Paridad de Rendimiento en Formatos Rígidos y Estandarizados (Sin Diferencia 0): </w:t>
      </w:r>
      <w:r>
        <w:rPr>
          <w:rFonts w:ascii="Times New Roman" w:hAnsi="Times New Roman"/>
          <w:i w:val="0"/>
          <w:sz w:val="19"/>
        </w:rPr>
        <w:t>Esta condición clasifica las situaciones operativas en las que las soluciones de IA compleja no ofrecen ventajas estadísticamente significativas frente a algoritmos tradicionales de coincidencia de patrones (regex) y OCR de plantillas estáticas sobre documentos de diseño inalterable. Reúne ocho estudios primarios (9.8 % de PI3; [28], [45], [54], [64], [86], [98], [112], [128]). Las evidencias muestran que cuando los documentos corporativos conservan una geometría idéntica y alta resolución de escaneo, las reglas deterministas alcanzan precisiones idénticas a los modelos neuronales con un consumo de recursos computacionales sustancialmente menor [28], [45], [54], [64], [86], [112]. La diferencia observada en F1-score fue marginal e inferior al 1.8 % (e.g. 98.2 % en reglas frente a 98.6 % en IA), consumiendo hasta diez veces menos memoria RAM. El 87.5 % de las investigaciones (7 de 8) posee calidad metodológica alta (QA &gt;= 4.5), sustentando una certeza GRADE-CERQual Alta para la idoneidad de reglas tradicionales en comprobantes estáticos cerrados.</w:t>
      </w:r>
    </w:p>
    <w:p>
      <w:pPr>
        <w:spacing w:line="240" w:lineRule="auto" w:before="0" w:after="80"/>
        <w:jc w:val="both"/>
      </w:pPr>
      <w:r>
        <w:rPr>
          <w:rFonts w:ascii="Times New Roman" w:hAnsi="Times New Roman"/>
          <w:b/>
          <w:sz w:val="19"/>
        </w:rPr>
        <w:t xml:space="preserve">2.3. Escenarios de Sobrecosto y Carga Operativa Desfavorable (Empeora -1): </w:t>
      </w:r>
      <w:r>
        <w:rPr>
          <w:rFonts w:ascii="Times New Roman" w:hAnsi="Times New Roman"/>
          <w:i w:val="0"/>
          <w:sz w:val="19"/>
        </w:rPr>
        <w:t>Esta condición agrupa los casos en los que la introducción de arquitecturas de IA generó efectos negativos o contraproducentes frente a los flujos tradicionales, originados por excesiva latencia en hardware restringido o re-trabajo derivado de alucinaciones en campos críticos. Abarca tres estudios primarios (3.7 % de PI3; [37], [56], [121]). Los autores advierten que el despliegue de modelos multimodales de gran tamaño en servidores sin tarjetas de aceleración gráfica GPU genera tiempos de espera inaceptables para la atención presencial, y que la presencia de montos numéricos inventados por LLMs exige una auditoría humana al 100 % [37], [56], [121]. Se constató un incremento del 220 % en el costo de infraestructura en la nube o un incremento en el tiempo de validación de hasta 3 minutos adicionales por factura alucinada. Dos de los tres estudios (66.7 %, 2 de 3) se ubican en estrato de calidad alta (QA &gt;= 4.5) y uno en calidad moderada ([121], QA = 3.5), asignándose una calificación de Moderada Certeza GRADE-CERQual debido a la vulnerabilidad metodológica del criterio QA5 en este estrato.</w:t>
      </w:r>
    </w:p>
    <w:p>
      <w:pPr>
        <w:spacing w:line="240" w:lineRule="auto" w:before="0" w:after="80"/>
        <w:jc w:val="both"/>
      </w:pPr>
      <w:r>
        <w:rPr>
          <w:rFonts w:ascii="Times New Roman" w:hAnsi="Times New Roman"/>
          <w:b/>
          <w:sz w:val="19"/>
        </w:rPr>
        <w:t xml:space="preserve">3) Contrastes y Debates Operativos: </w:t>
      </w:r>
      <w:r>
        <w:rPr>
          <w:rFonts w:ascii="Times New Roman" w:hAnsi="Times New Roman"/>
          <w:i w:val="0"/>
          <w:sz w:val="19"/>
        </w:rPr>
        <w:t>El debate fundamental en torno a la relación costo-beneficio de la IA se polariza en tres vertientes contrastadas:</w:t>
        <w:br/>
        <w:t>a) Ahorro masivo y amortización en grandes volúmenes: Investigaciones aplicadas defienden que la automatización neuronal reduce drásticamente las horas-hombre y amortiza los costos de software en centros de servicios compartidos corporativos [4], [11], [16], [67], [80] (Chen L.-C. et al. [4]; Xiao et al. [11]; Saeed et al. [16]; Nguyen M.-T. et al. [67]; Yang Z. et al. [80]).</w:t>
        <w:br/>
        <w:t>b) Suficiencia y ventaja económica de reglas fijas en catálogos acotados: En marcado contraste, diversos autores demuestran que para organizaciones con proveedores estandarizados (&lt;5,000 documentos mensuales), las plantillas basadas en expresiones regulares y OCR clásico tienen costo de mantenimiento casi nulo y cero consumo de GPU, superando económicamente a los modelos neuronales [28], [45], [54], [64], [112] (Liu Z. [28]; Guha et al. [45]; Kim C.-Y. et al. [54]; Oral et al. [64]; Tata et al. [112]).</w:t>
        <w:br/>
        <w:t>c) Sobrecosto de infraestructura y re-trabajo por alucinación: Por su parte, evaluaciones en contextos financieros y tributarios advierten que cuando el margen de tolerancia a errores es cero, la necesidad de auditar manualmente las alucinaciones de modelos generativos encarece el flujo total frente a operadores entrenados [37], [56], [121] (Chen Z. et al. [37]; Chen Y. et al. [56]; Lai P. et al. [121]).</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superioridad técnica de la IA sobre el ingreso manual es incontestable en grandes volúmenes de documentos semiestructurados. Al aplicar el análisis de sensibilidad excluyendo los 4 estudios con QA = 3.5 que reportaron comparaciones ([116], [121], [127], [128]), quedan 69 de 78 en Mejora (88.5 %, variación de +1.9 %), 7 de 78 en Paridad (9.0 %, se excluye [128]) y 2 de 78 en Desfavorables (2.6 %, se excluye [121]), reafirmando la estabilidad absoluta del veredicto comparativo.</w:t>
      </w:r>
    </w:p>
    <w:p>
      <w:pPr>
        <w:keepNext/>
        <w:spacing w:before="160" w:after="40"/>
        <w:jc w:val="left"/>
      </w:pPr>
      <w:r>
        <w:rPr>
          <w:rFonts w:ascii="Times New Roman" w:hAnsi="Times New Roman"/>
          <w:b/>
          <w:i/>
          <w:sz w:val="19"/>
        </w:rPr>
        <w:t>I. Mapeo de Tipologías Documentales y Sistemas Corporativos ERP/CRM (PI4)</w:t>
      </w:r>
    </w:p>
    <w:p>
      <w:pPr>
        <w:spacing w:line="240" w:lineRule="auto" w:before="0" w:after="80"/>
        <w:jc w:val="both"/>
      </w:pPr>
      <w:r>
        <w:rPr>
          <w:rFonts w:ascii="Times New Roman" w:hAnsi="Times New Roman"/>
          <w:i w:val="0"/>
          <w:sz w:val="19"/>
        </w:rPr>
        <w:t>Para determinar qué tipologías documentales y qué plataformas empresariales de gestión han sido abordadas en la literatura, se ejecutó un mapeo temático matricial sobre la totalidad del corpus primario (N = 131 estudios, 100.0 % de cobertura). La categorización documental y el mapeo hacia plataformas corporativas evaluada por protocolo test-retest ciego sobre la muestra del 20.6 % (n = 27 estudios) reportó un coeficiente Kappa de Cohen κ = 0.87 (Po = 92.6 %, Pe = 0.430), certificando la consistencia taxonómica de la matriz de integración bajo el Checklist 9.2.F. La matriz cruzada se documenta en la TABLA XXI y la matriz de calor (heatmap) se expone en la Fig. 9.</w:t>
      </w:r>
    </w:p>
    <w:p>
      <w:pPr>
        <w:keepNext/>
        <w:spacing w:before="140" w:after="20"/>
        <w:jc w:val="center"/>
      </w:pPr>
      <w:r>
        <w:rPr>
          <w:rFonts w:ascii="Times New Roman" w:hAnsi="Times New Roman"/>
          <w:b/>
          <w:sz w:val="16"/>
        </w:rPr>
        <w:t>TABLA XXI</w:t>
        <w:br/>
      </w:r>
      <w:r>
        <w:rPr>
          <w:rFonts w:ascii="Times New Roman" w:hAnsi="Times New Roman"/>
          <w:sz w:val="16"/>
        </w:rPr>
        <w:t>MAPEO DE TIPOLOGÍAS DOCUMENTALES Y SISTEMAS EMPRESARIALES DE INTEGRACIÓN (PI4)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Tipología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Definición Operativa</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Plataformas Integradas / Mapeadas</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Indexados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Balances y Tablas Financieras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Estructuras matriciales, estados de resultados y libros mayores contables.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ERP (SAP, Oracle Financials) y Motores de Base de Datos Relacional / SQL.</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[5], [7], [8], [10]–[13], [16], [17], [19], [20], [23], [25], [27], [31], [33], [35], [36], [41], [42], [45]–[54], [57], [59], [61], [62], [65], [66], [68], [71], [74], [81], [87], [94], [95], [101], [103]–[106], [113], [120], [123], [124], [126]–[128], [130], [131], [133]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59</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Comerciales y Fiscales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de compra/venta, comprobantes fiscales y facturas proforma.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Cuentas por Pagar en ERP (SAP S/4HANA, Dynamics 365, Odoo).</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[4], [24], [28], [34], [38]–[40], [43], [44], [55], [60], [64], [69], [72], [75], [76], [86], [88]–[90], [96]–[100], [107]–[109], [112], [115], [119], [121], [129], [132]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y Expedientes Admin.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aduaneros, solicitudes de crédito, pólizas y notas de remisión.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CRM (Salesforce) y Gestión Documental DMS (Alfresco, SharePoint).</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[14], [18], [21], [22], [26], [29], [32], [56], [58], [63], [67], [70], [73], [77], [78], [80], [85], [92], [93], [110], [111], [114], [116]–[118], [122]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19.8 %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Recibos y Tickets POS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Tickets de gastos de viaje, recibos térmicos y tickets de caja chica.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Rendición de Gastos ERP y Sistemas POS (Point of Sale).</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[9], [15], [30], [37], [79], [82]–[84], [91], [102], [125]</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9.2 %</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[3]–[133] (131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425659"/>
            <wp:docPr id="9" name="Picture 9"/>
            <wp:cNvGraphicFramePr>
              <a:graphicFrameLocks noChangeAspect="1"/>
            </wp:cNvGraphicFramePr>
            <a:graphic>
              <a:graphicData uri="http://schemas.openxmlformats.org/drawingml/2006/picture">
                <pic:pic>
                  <pic:nvPicPr>
                    <pic:cNvPr id="0" name="fig9_heatmap_documentos_erp.png"/>
                    <pic:cNvPicPr/>
                  </pic:nvPicPr>
                  <pic:blipFill>
                    <a:blip r:embed="rId17"/>
                    <a:stretch>
                      <a:fillRect/>
                    </a:stretch>
                  </pic:blipFill>
                  <pic:spPr>
                    <a:xfrm>
                      <a:off x="0" y="0"/>
                      <a:ext cx="3063240" cy="1425659"/>
                    </a:xfrm>
                    <a:prstGeom prst="rect"/>
                  </pic:spPr>
                </pic:pic>
              </a:graphicData>
            </a:graphic>
          </wp:inline>
        </w:drawing>
      </w:r>
    </w:p>
    <w:p>
      <w:pPr>
        <w:spacing w:before="40" w:after="120"/>
        <w:jc w:val="both"/>
      </w:pPr>
      <w:r>
        <w:rPr>
          <w:rFonts w:ascii="Times New Roman" w:hAnsi="Times New Roman"/>
          <w:b/>
          <w:sz w:val="17"/>
        </w:rPr>
        <w:t xml:space="preserve">Fig. 9. </w:t>
      </w:r>
      <w:r>
        <w:rPr>
          <w:rFonts w:ascii="Times New Roman" w:hAnsi="Times New Roman"/>
          <w:sz w:val="17"/>
        </w:rPr>
        <w:t xml:space="preserve">Mapeo Cruzado: Tipología Documental × Plataforma Empresarial (PI4, N = 131). </w:t>
      </w:r>
      <w:r>
        <w:rPr>
          <w:rFonts w:ascii="Times New Roman" w:hAnsi="Times New Roman"/>
          <w:sz w:val="16"/>
        </w:rPr>
        <w:t xml:space="preserve">Matriz de calor que representa la frecuencia de estudios primarios mapeados.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PI4): </w:t>
      </w:r>
      <w:r>
        <w:rPr>
          <w:rFonts w:ascii="Times New Roman" w:hAnsi="Times New Roman"/>
          <w:i w:val="0"/>
          <w:sz w:val="19"/>
        </w:rPr>
        <w:t>Ciento treinta y un artículos (100.0 % del corpus; TABLA XXI, Fig. 9) respondieron a la relación entre las tipologías documentales procesadas y los sistemas corporativos de destino (PI4). Mediante síntesis temática y mapeo matricial con un índice de fiabilidad test-retest de κ = 0.87, se determinó una fuerte polarización de la literatura hacia tablas contables financieras (45.0 %) y facturas comerciales (26.0 %) conectadas conceptualmente con sistemas ERP, existiendo una menor penetración en flujos documentales de atención al cliente en plataformas CRM.</w:t>
      </w:r>
    </w:p>
    <w:p>
      <w:pPr>
        <w:spacing w:line="240" w:lineRule="auto" w:before="0" w:after="80"/>
        <w:jc w:val="both"/>
      </w:pPr>
      <w:r>
        <w:rPr>
          <w:rFonts w:ascii="Times New Roman" w:hAnsi="Times New Roman"/>
          <w:b/>
          <w:sz w:val="19"/>
        </w:rPr>
        <w:t xml:space="preserve">2.1. Balances, Tablas y Reportes Financieros Complejos: </w:t>
      </w:r>
      <w:r>
        <w:rPr>
          <w:rFonts w:ascii="Times New Roman" w:hAnsi="Times New Roman"/>
          <w:i w:val="0"/>
          <w:sz w:val="19"/>
        </w:rPr>
        <w:t>Esta tipología comprende documentos con estructuras matriciales densas, estados de situación financiera, balances contables de comprobación y libros mayores compuestos por celdas anidadas y columnas financieras multinivel. Concentra cincuenta y nueve estudios primarios (45.0 % del corpus total; [3], [5], [7], [8], [10]–[13], [16], [17], [19], [20], [23], [25], [27], [31], [33], [35], [36], [41], [42], [45]–[54], [57], [59], [61], [62], [65], [66], [68], [71], [74], [81], [87], [94], [95], [101], [103]–[106], [113], [120], [123], [124], [126]–[128], [130], [131], [133]). Las investigaciones destacan que la validación y estructuración de tablas numéricas resulta indispensable para la carga automática de asientos contables en bases de datos relacionales y módulos financieros centrales de sistemas ERP [5], [11], [19], [41], [51], [65], [105], [120]. El 72.9 % de los estudios evalúa métricas sobre el benchmark FinTabNet o balances anuales auditados, alcanzando tasas de acierto en el orden del 89.8 % en reconstrucción matricial. El 84.7 % de los manuscritos (50 de 59) corresponde al estrato de calidad alta (QA &gt;= 4.5), confiriendo un nivel de Alta Certeza GRADE-CERQual para el procesamiento de tablas financieras.</w:t>
      </w:r>
    </w:p>
    <w:p>
      <w:pPr>
        <w:spacing w:line="240" w:lineRule="auto" w:before="0" w:after="80"/>
        <w:jc w:val="both"/>
      </w:pPr>
      <w:r>
        <w:rPr>
          <w:rFonts w:ascii="Times New Roman" w:hAnsi="Times New Roman"/>
          <w:b/>
          <w:sz w:val="19"/>
        </w:rPr>
        <w:t xml:space="preserve">2.2. Facturas Comerciales y Fiscales de Proveedores: </w:t>
      </w:r>
      <w:r>
        <w:rPr>
          <w:rFonts w:ascii="Times New Roman" w:hAnsi="Times New Roman"/>
          <w:i w:val="0"/>
          <w:sz w:val="19"/>
        </w:rPr>
        <w:t>Esta categoría documental abarca comprobantes fiscales de compra y venta, facturas comerciales emitidas o recibidas de terceros y notas de débito orientadas a la verificación tributaria y conciliación de pagos. Agrupa a treinta y cuatro estudios primarios (26.0 % del corpus; [4], [24], [28], [34], [38]–[40], [43], [44], [55], [60], [64], [69], [72], [75], [76], [86], [88]–[90], [96]–[100], [107]–[109], [112], [115], [119], [121], [129], [132]). Los autores demuestran que las facturas constituyen el principal motor de ahorro en departamentos de Cuentas por Pagar (Accounts Payable), siendo su destino natural la conciliación de tres vías en ERPs como SAP S/4HANA o Oracle Financials [4], [24], [34], [60], [64], [72], [96], [108]. Representan el foco de mayor automatización exitosa con una tasa de extracción de campos obligatorios superior al 94.5 % en condiciones controladas. El 85.3 % de las investigaciones (29 de 34) posee calidad alta (QA &gt;= 4.5), otorgando una calificación de Alta Certeza GRADE-CERQual en la captura de metadatos de facturación.</w:t>
      </w:r>
    </w:p>
    <w:p>
      <w:pPr>
        <w:spacing w:line="240" w:lineRule="auto" w:before="0" w:after="80"/>
        <w:jc w:val="both"/>
      </w:pPr>
      <w:r>
        <w:rPr>
          <w:rFonts w:ascii="Times New Roman" w:hAnsi="Times New Roman"/>
          <w:b/>
          <w:sz w:val="19"/>
        </w:rPr>
        <w:t xml:space="preserve">2.3. Formularios, Pólizas y Expedientes Administrativos: </w:t>
      </w:r>
      <w:r>
        <w:rPr>
          <w:rFonts w:ascii="Times New Roman" w:hAnsi="Times New Roman"/>
          <w:i w:val="0"/>
          <w:sz w:val="19"/>
        </w:rPr>
        <w:t>Esta clase documental agrupa instrumentos administrativos complejos tales como solicitudes de crédito bancario, declaraciones aduaneras de importación, pólizas de seguros y expedientes de recursos humanos con diagramación semifija. Reúne veintiséis estudios primarios (19.8 % del corpus; [14], [18], [21], [22], [26], [29], [32], [56], [58], [63], [67], [70], [73], [77], [78], [80], [85], [92], [93], [110], [111], [114], [116]–[118], [122]). Las investigaciones señalan que la gran heterogeneidad de campos abiertos y el uso extensivo de texto libre exige la integración de estos expedientes en repositorios de gestión documental (DMS como SharePoint o Alfresco) y sistemas CRM [14], [22], [58], [70], [80], [93], [110]. La exactitud en el reconocimiento de entidades se sitúa en un rango empírico entre el 80.5 % y el 91.0 % debido a la dispersión de sellos y firmas. El 69.2 % de los estudios (18 de 26) exhibe calidad metodológica alta (QA &gt;= 4.5), respaldando un dictamen de certeza GRADE-CERQual Moderada debido a la variabilidad regulatoria entre países.</w:t>
      </w:r>
    </w:p>
    <w:p>
      <w:pPr>
        <w:spacing w:line="240" w:lineRule="auto" w:before="0" w:after="80"/>
        <w:jc w:val="both"/>
      </w:pPr>
      <w:r>
        <w:rPr>
          <w:rFonts w:ascii="Times New Roman" w:hAnsi="Times New Roman"/>
          <w:b/>
          <w:sz w:val="19"/>
        </w:rPr>
        <w:t xml:space="preserve">2.4. Recibos de Caja Menor y Tickets de Punto de Venta (POS): </w:t>
      </w:r>
      <w:r>
        <w:rPr>
          <w:rFonts w:ascii="Times New Roman" w:hAnsi="Times New Roman"/>
          <w:i w:val="0"/>
          <w:sz w:val="19"/>
        </w:rPr>
        <w:t>Esta categoría abarca comprobantes de pago de bajo valor, tickets de papel térmico, comprobantes de peaje y recibos emitidos por terminales de punto de venta utilizados para la rendición de fondos corporativos. Comprende doce estudios primarios (9.2 % del corpus; [6], [9], [15], [30], [37], [79], [82]–[84], [91], [102], [125]). La literatura reporta que su digitalización vía dispositivos móviles facilita la rendición automática de gastos de viaje hacia módulos de nómina y tesorería en sistemas ERP [6], [9], [15], [30], [82], [102]. La tasa de éxito en extracción de total y fecha promedia un 93.5 %, si bien sufren degradaciones severas por desgaste térmico o baja iluminación de captura. El 91.7 % de los estudios (11 de 12) se encuentra en el rango de calidad alta (QA &gt;= 4.5), clasificándose con Alta Certeza GRADE-CERQual para tickets estandarizados y Moderada en capturas móviles de baja resolución.</w:t>
      </w:r>
    </w:p>
    <w:p>
      <w:pPr>
        <w:spacing w:line="240" w:lineRule="auto" w:before="0" w:after="80"/>
        <w:jc w:val="both"/>
      </w:pPr>
      <w:r>
        <w:rPr>
          <w:rFonts w:ascii="Times New Roman" w:hAnsi="Times New Roman"/>
          <w:b/>
          <w:sz w:val="19"/>
        </w:rPr>
        <w:t xml:space="preserve">3) Contrastes y Brechas en la Integración Transaccional: </w:t>
      </w:r>
      <w:r>
        <w:rPr>
          <w:rFonts w:ascii="Times New Roman" w:hAnsi="Times New Roman"/>
          <w:i w:val="0"/>
          <w:sz w:val="19"/>
        </w:rPr>
        <w:t>Se constata una brecha metodológica profunda entre la visión computacional y la ingeniería transaccional de software:</w:t>
        <w:br/>
        <w:t>a) Enfoque restringido a la extracción visual JSON: La mayor parte de la literatura restringe su alcance a la detección y estructuración de entidades en esquemas JSON, asumiendo implícitamente que la carga hacia el ERP es trivial [8], [10], [41], [51], [61] (Sassioui et al. [8]; Tiwari et al. [10]; Ma C. et al. [41]; Akkaya et al. [51]; Hashmi et al. [61]).</w:t>
        <w:br/>
        <w:t>b) Complejidad de la validación transaccional y reglas de negocio: En contraste, estudios con orientación a la ingeniería de software revelan que sin módulos de validación fiscal de tres vías (Three-Way Matching entre orden de compra, guía de despacho y factura) y control de excepciones transaccionales, las salidas de IA resultan inservibles para auditoría en ERPs productivos [64], [70], [112], [131] (Oral et al. [64]; Feng H. et al. [70]; Tata et al. [112]; Sainz-De-Abajo et al. [131]).</w:t>
        <w:br/>
        <w:t>c) Restricciones de soberanía y privacidad de datos financieros: A su vez, diversas contribuciones señalan las barreras legales que impiden remitir balances confidenciales hacia APIs públicas de la nube, limitando el despliegue a servidores locales dedicados [44], [116], [127] (Manjunath et al. [44]; Tobaben et al. [116]; Azman et al. [127]).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automatización documental avanza hacia la unificación de pipelines multimodales capaces de procesar tablas y texto indistintamente. Al excluir del análisis los 10 estudios del estrato inferior (QA = 3.5; [116]–[118], [121]–[123], [127], [128], [132], [133]), de los cuales 6 pertenecen al núcleo contable (4 en balances [123], [127], [128], [133] y 2 en facturas [121], [132]), el bloque contable líder pasó de 93 de 131 (71.0 %) a 87 de 121 (71.9 %, variación +0.9 %), ratificando que la concentración en documentos contables y financieros es un hallazgo estructural plenamente robusto.</w:t>
      </w:r>
    </w:p>
    <w:p>
      <w:pPr>
        <w:keepNext/>
        <w:spacing w:before="160" w:after="40"/>
        <w:jc w:val="left"/>
      </w:pPr>
      <w:r>
        <w:rPr>
          <w:rFonts w:ascii="Times New Roman" w:hAnsi="Times New Roman"/>
          <w:b/>
          <w:i/>
          <w:sz w:val="19"/>
        </w:rPr>
        <w:t>J. Análisis de Sensibilidad Global (Paso 8)</w:t>
      </w:r>
    </w:p>
    <w:p>
      <w:pPr>
        <w:spacing w:line="240" w:lineRule="auto" w:before="0" w:after="80"/>
        <w:jc w:val="both"/>
      </w:pPr>
      <w:r>
        <w:rPr>
          <w:rFonts w:ascii="Times New Roman" w:hAnsi="Times New Roman"/>
          <w:i w:val="0"/>
          <w:sz w:val="19"/>
        </w:rPr>
        <w:t>Para comprobar de manera concluyente si los hallazgos principales dependen de la inclusión de estudios con menor rigor metodológico, se ejecutó el Análisis de Sensibilidad (Paso 8) contrastando los resultados de la muestra completa (N = 131) frente a la muestra filtrada de alta calidad (n = 121), tras excluir temporalmente los 10 estudios calificados con QA = 3.50 puntos ([116]–[118], [121]–[123], [127], [128], [132], [133]). La TABLA XXII documenta la comparación exhaustiva antes y después del filtro con los ajustes matemáticos exactos verificados contra el corpus.</w:t>
      </w:r>
    </w:p>
    <w:p>
      <w:pPr>
        <w:keepNext/>
        <w:spacing w:before="140" w:after="20"/>
        <w:jc w:val="center"/>
      </w:pPr>
      <w:r>
        <w:rPr>
          <w:rFonts w:ascii="Times New Roman" w:hAnsi="Times New Roman"/>
          <w:b/>
          <w:sz w:val="16"/>
        </w:rPr>
        <w:t>TABLA XXII</w:t>
        <w:br/>
      </w:r>
      <w:r>
        <w:rPr>
          <w:rFonts w:ascii="Times New Roman" w:hAnsi="Times New Roman"/>
          <w:sz w:val="16"/>
        </w:rPr>
        <w:t>EVALUACIÓN DEL ANÁLISIS DE SENSIBILIDAD: MUESTRA COMPLETA (N = 131) VS. MUESTRA FILTRADA (N = 121)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Pregunta / Dimensión Evaluada</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Completa (N = 131)</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Filtrada de Alta Calidad (n = 121)</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Variación Absoluta / Relativa</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Dictamen de Robustez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PD1: Producción 2025–2026*</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54 de 131 estudios (41.2 %)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51 de 121 estudios (42.1 %)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(sin alteración de tendencia alcista)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PD2: Hegemonía Geográfica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39 de 131 (29.8 %)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38 de 121 (31.4 %)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(estabilidad cienciométrica total)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PD3: Diseños Experimentales</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82 de 131 estudios (62.6 %)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79 de 121 estudios (65.3 %)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+2.7 %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(convergencia empírica invariable)</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PI1: Familia Algorítmica Líder</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56 de 105 (53.3 %)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53 de 101 (52.5 %)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(jerarquía de 4 familias inalterada)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PI2: Mediana F1-score Facturación</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0.0 %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(muestra intacta, sin estudios QA = 3.5)</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PI3: Conteo SWiM a Favor de IA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71 de 82 estudios con comparador (86.6 %)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69 de 78 estudios con comparador (88.5 %)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(dirección del efecto inalterada)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PI4: Tipología Contable Líder</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93 de 131 (71.0 %)</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87 de 121 (71.9 %)</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Robusto (núcleo documental inalterado)</w:t>
            </w:r>
          </w:p>
        </w:tc>
      </w:tr>
    </w:tbl>
    <w:p>
      <w:pPr>
        <w:spacing w:before="40" w:after="120"/>
        <w:jc w:val="left"/>
      </w:pPr>
      <w:r>
        <w:rPr>
          <w:rFonts w:ascii="Times New Roman" w:hAnsi="Times New Roman"/>
          <w:i/>
          <w:sz w:val="16"/>
        </w:rPr>
        <w:t>Fuente: elaboración propia a partir del corpus primario [3]–[133]. Filtro de exclusión: 10 estudios con puntaje QA = 3.50 pts ([116]–[118], [121]–[123], [127], [128], [132], [133]).</w:t>
      </w:r>
    </w:p>
    <w:p>
      <w:pPr>
        <w:spacing w:line="240" w:lineRule="auto" w:before="0" w:after="80"/>
        <w:jc w:val="both"/>
      </w:pPr>
      <w:r>
        <w:rPr>
          <w:rFonts w:ascii="Times New Roman" w:hAnsi="Times New Roman"/>
          <w:b/>
          <w:sz w:val="19"/>
        </w:rPr>
        <w:t xml:space="preserve">Síntesis de Robustez de la Evidencia: </w:t>
      </w:r>
      <w:r>
        <w:rPr>
          <w:rFonts w:ascii="Times New Roman" w:hAnsi="Times New Roman"/>
          <w:i w:val="0"/>
          <w:sz w:val="19"/>
        </w:rPr>
        <w:t>El análisis de sensibilidad demuestra que ninguna de las conclusiones de la revisión sistemática se invierte, altera o distorsiona al retirar los estudios de menor calificación de calidad. Las frecuencias porcentuales experimentaron variaciones marginales inferiores a ±2.7 %, la mediana de F1 en facturación se mantuvo exactamente en 95.2 % al no existir estudios con QA = 3.5 en PI2, la dirección del voto en SWiM ratificó la superioridad de la IA con un 88.5 % favorable, y el núcleo contable de balances y facturas se consolidó en el 71.9 %. Por tanto, la evidencia compilada se dictamina formalmente como robusta y libre de sesgos de agregación.</w:t>
      </w:r>
    </w:p>
    <w:p>
      <w:pPr>
        <w:keepNext/>
        <w:spacing w:before="160" w:after="40"/>
        <w:jc w:val="left"/>
      </w:pPr>
      <w:r>
        <w:rPr>
          <w:rFonts w:ascii="Times New Roman" w:hAnsi="Times New Roman"/>
          <w:b/>
          <w:i/>
          <w:sz w:val="19"/>
        </w:rPr>
        <w:t>K. Calificación de Certeza de la Evidencia — Marco GRADE-CERQual (Paso 9)</w:t>
      </w:r>
    </w:p>
    <w:p>
      <w:pPr>
        <w:spacing w:line="240" w:lineRule="auto" w:before="0" w:after="80"/>
        <w:jc w:val="both"/>
      </w:pPr>
      <w:r>
        <w:rPr>
          <w:rFonts w:ascii="Times New Roman" w:hAnsi="Times New Roman"/>
          <w:i w:val="0"/>
          <w:sz w:val="19"/>
        </w:rPr>
        <w:t>En estricto apego a las directrices de Lewin et al. (2018) [140], se evaluó el nivel de confianza de los hallazgos principales a través de los cuatro componentes del marco GRADE-CERQual (Confidence in the Evidence from Reviews of Qualitative/Mixed Research): 1) Limitaciones metodológicas de los estudios primarios, 2) Coherencia de los hallazgos entre distintos autores, 3) Adecuación del volumen de datos, y 4) Relevancia frente al contexto empresarial corporativo. La TABLA XXIII expone la Tabla Resumen de Hallazgos (Summary of Findings - SoF).</w:t>
      </w:r>
    </w:p>
    <w:p>
      <w:pPr>
        <w:keepNext/>
        <w:spacing w:before="140" w:after="20"/>
        <w:jc w:val="center"/>
      </w:pPr>
      <w:r>
        <w:rPr>
          <w:rFonts w:ascii="Times New Roman" w:hAnsi="Times New Roman"/>
          <w:b/>
          <w:sz w:val="16"/>
        </w:rPr>
        <w:t>TABLA XXIII</w:t>
        <w:br/>
      </w:r>
      <w:r>
        <w:rPr>
          <w:rFonts w:ascii="Times New Roman" w:hAnsi="Times New Roman"/>
          <w:sz w:val="16"/>
        </w:rPr>
        <w:t>TABLA RESUMEN DE HALLAZGOS (SUMMARY OF FINDINGS - SOF) BAJO EL MARCO GRADE-CERQUAL (PASO 9)</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Preg.</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Hallazgo Principal Sintetizado</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Limitaciones (QA)</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Coherencia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Adecuación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Relevancia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Dictamen GRADE-CERQual</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PI1</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Pipelines CNN-RNN y Transformers multimodales (VLMs) dominan el 74.3 % de las soluciones, convergiendo hacia modelos ligeros de atención visual espacial.</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el 82.4 % de los estudios posee calidad alta (media QA = 4.61).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convergencia técnica total entre grupos de investigación internacionales.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105 estudios primarios reportan arquitecturas reproducibles.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aplicable a documentos semiestructurados corporativos.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PI2</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arquitecturas de IA alcanzan medianas de F1-score de 95.2 % en recibos y 89.8 % en tablas, con caídas al 84.5 % ante documentos con severa degradación física.</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métricas formales reportadas en el 89.3 % de los casos (QA4 = 0.912).</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en benchmarks públicos (SROIE/CORD); moderada en escaneos degradados.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117 estudios con datos empíricos cuantitativos verificables.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sólida en benchmarks estándar; menor en lotes reales no curados.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 (en benchmarks estándar) / MODERADA (en lotes reales con alta degradación)</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PI3</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soluciones de IA superan al ingreso manual y al OCR por reglas en el 86.6 % de los estudios, reduciendo tiempos de ciclo de 24–72 h a segundos.</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Moderadas: el criterio QA5 presentó 32.1 % de cumplimiento parcial.</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consenso generalizado en dirección del efecto en favor de la IA.</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n = 82 estudios con comparador empírico explícito.</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evalúa directamente latencias de ciclo y reducción de errores humanos.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MODERADA CERTEZA (debido a la vulnerabilidad detectada en QA5)</w:t>
            </w:r>
          </w:p>
        </w:tc>
      </w:tr>
      <w:tr>
        <w:trPr>
          <w:cantSplit/>
        </w:trPr>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PI4</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Las tablas contables (45.0 %) y las facturas (26.0 %) constituyen los ejes centrales de la literatura, pero el 78.6 % de los estudios no implementa conectores nativos ERP.</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Bajas: tipología documental 100 % explícita en todos los estudios (QA1 = 1.000).</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concordancia global en la primacía de comprobantes de pago.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N = 131 estudios cubren la tipología de documentos de negocio.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Moderada: alta para extracción; moderada por escasez de validación en ERPs vivos.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ALTA CERTEZA (en extracción documental) / MODERADA (en integración transaccional a ERP)</w:t>
            </w:r>
          </w:p>
        </w:tc>
      </w:tr>
    </w:tbl>
    <w:p>
      <w:pPr>
        <w:spacing w:before="40" w:after="120"/>
        <w:jc w:val="left"/>
      </w:pPr>
      <w:r>
        <w:rPr>
          <w:rFonts w:ascii="Times New Roman" w:hAnsi="Times New Roman"/>
          <w:i/>
          <w:sz w:val="16"/>
        </w:rPr>
        <w:t>Fuente: elaboración propia a partir del corpus primario [3]–[133]. Evaluación estructurada bajo los cuatro dominios de GRADE-CERQual [140].</w:t>
      </w:r>
    </w:p>
    <w:p>
      <w:pPr>
        <w:keepNext/>
        <w:spacing w:before="220" w:after="80"/>
        <w:jc w:val="center"/>
      </w:pPr>
      <w:r>
        <w:rPr>
          <w:rFonts w:ascii="Times New Roman" w:hAnsi="Times New Roman"/>
          <w:b/>
          <w:sz w:val="20"/>
        </w:rPr>
        <w:t>DECLARACIÓN SOBRE EL USO DE INTELIGENCIA ARTIFICIAL GENERATIVA</w:t>
      </w:r>
    </w:p>
    <w:p>
      <w:pPr>
        <w:spacing w:line="240" w:lineRule="auto" w:before="0" w:after="80"/>
        <w:jc w:val="both"/>
      </w:pPr>
      <w:r>
        <w:rPr>
          <w:rFonts w:ascii="Times New Roman" w:hAnsi="Times New Roman"/>
          <w:b/>
          <w:sz w:val="19"/>
        </w:rPr>
        <w:t xml:space="preserve">Declaración Ética y Cumplimiento Normativo (COPE / IEEE / UTP): </w:t>
      </w:r>
      <w:r>
        <w:rPr>
          <w:rFonts w:ascii="Times New Roman" w:hAnsi="Times New Roman"/>
          <w:i w:val="0"/>
          <w:sz w:val="19"/>
        </w:rPr>
        <w:t>En estricto cumplimiento del Reglamento y Código de Ética de la Investigación de la Universidad Tecnológica del Perú (UTP), así como de las directrices internacionales del Committee on Publication Ethics (COPE) y las políticas editoriales del IEEE sobre el uso de tecnologías de inteligencia artificial en la autoría y redacción científica, el autor declara formalmente:</w:t>
        <w:br/>
        <w:t>1) Herramientas de IA y asistencia computacional empleadas: Se emplearon modelos de lenguaje avanzados (Google Gemini y Anthropic Claude) junto con scripts automatizados de procesamiento de datos en Python (librerías pandas, python-docx, requests y concurrent.futures).</w:t>
        <w:br/>
        <w:t>2) Alcance y funciones específicas autorizadas: Dichas tecnologías fueron empleadas exclusivamente como soporte metodológico y computacional para: (a) la auditoría automatizada de sintaxis y resolución de enlaces y códigos DOI contra la API oficial de CrossRef y doi.org; (b) el procesamiento matemático de frecuencias, tabulaciones cruzadas y cálculo determinista del índice Kappa de Cohen intra-evaluador; y (c) el refinamiento estilístico, asistencia ortotipográfica y revisión de fluidez lingüística del texto académico.</w:t>
        <w:br/>
        <w:t>3) Autoría y responsabilidad ética indelegable: De conformidad con los estándares de COPE e IEEE, los modelos de IA no cumplen los criterios de autoría científica y no figuran como coautores. El autor principal (Sergio André Rupay Huancachoque) declara que la concepción del estudio, el diseño de la estrategia de búsqueda en Scopus y Web of Science, el cribado y selección de los 131 estudios primarios, la evaluación de calidad metodológica (Kitchenham y AMSTAR 2) y la interpretación crítica de los hallazgos empíricos fueron realizadas y supervisadas directamente por el autor junto con el docente asesor (Mg. Jimmy Sánchez Portugal), asumiendo el autor plena y exclusiva responsabilidad sobre la originalidad, precisión científica y contenido ético del presente documento.</w:t>
        <w:br/>
        <w:t>4) Disponibilidad de datos y reproducibilidad: La matriz completa de datos del corpus (N = 131), el registro de exclusiones fundamentadas bajo el estándar AMSTAR 2 (n = 20), el reporte de auditoría de DOIs y los scripts de verificación se encuentran archivados y disponibles en el repositorio auditable del proyecto para fines de inspección y validación académica independiente.</w:t>
      </w:r>
    </w:p>
    <w:p>
      <w:pPr>
        <w:keepNext/>
        <w:spacing w:before="220" w:after="80"/>
        <w:jc w:val="center"/>
      </w:pPr>
      <w:r>
        <w:rPr>
          <w:rFonts w:ascii="Times New Roman" w:hAnsi="Times New Roman"/>
          <w:b/>
          <w:sz w:val="20"/>
        </w:rPr>
        <w:t>IV.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ISSN: 2835-8856. [Online]. Available: https://openreview.net/forum?id=R2rasAEPVi.</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Learning," International Journal of Computer Vision, 2025, doi: 10.1007/s11263-025-02431-5.</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10.1109/TIM.2025.3560748.</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10.1007/s41870-025-02540-x.</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 ISSN: 2835-8856. [Online]. Available: https://openreview.net/forum?id=3HKNwejEEq.</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10.1108/JERER-05-2023-0015.</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10.1038/s41598-025-07439-y.</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10.1109/TBDATA.2025.3596854.</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pacing w:line="240" w:lineRule="auto" w:before="0" w:after="40"/>
        <w:ind w:left="432" w:hanging="432"/>
        <w:jc w:val="both"/>
      </w:pPr>
      <w:r>
        <w:rPr>
          <w:b/>
          <w:sz w:val="16"/>
        </w:rPr>
        <w:t xml:space="preserve">[134] </w:t>
      </w:r>
      <w:r>
        <w:rPr>
          <w:sz w:val="16"/>
        </w:rPr>
        <w:t>J. Thomas and A. Harden, 'Methods for the thematic synthesis of qualitative research in systematic reviews,' BMC Med. Res. Methodol., vol. 8, art. 45, 2008, doi: 10.1186/1471-2288-8-45.</w:t>
      </w:r>
    </w:p>
    <w:p>
      <w:pPr>
        <w:spacing w:line="240" w:lineRule="auto" w:before="0" w:after="40"/>
        <w:ind w:left="432" w:hanging="432"/>
        <w:jc w:val="both"/>
      </w:pPr>
      <w:r>
        <w:rPr>
          <w:b/>
          <w:sz w:val="16"/>
        </w:rPr>
        <w:t xml:space="preserve">[135] </w:t>
      </w:r>
      <w:r>
        <w:rPr>
          <w:sz w:val="16"/>
        </w:rPr>
        <w:t>D. S. Cruzes and T. Dybå, 'Research synthesis in software engineering: A tertiary study,' Inf. Softw. Technol., vol. 53, no. 5, pp. 440–455, 2011, doi: 10.1016/j.infsof.2011.01.004.</w:t>
      </w:r>
    </w:p>
    <w:p>
      <w:pPr>
        <w:spacing w:line="240" w:lineRule="auto" w:before="0" w:after="40"/>
        <w:ind w:left="432" w:hanging="432"/>
        <w:jc w:val="both"/>
      </w:pPr>
      <w:r>
        <w:rPr>
          <w:b/>
          <w:sz w:val="16"/>
        </w:rPr>
        <w:t xml:space="preserve">[136] </w:t>
      </w:r>
      <w:r>
        <w:rPr>
          <w:sz w:val="16"/>
        </w:rPr>
        <w:t>J. Popay et al., 'Guidance on the conduct of narrative synthesis in systematic reviews,' ESRC Methods Programme, Lancaster Univ., 2006.</w:t>
      </w:r>
    </w:p>
    <w:p>
      <w:pPr>
        <w:spacing w:line="240" w:lineRule="auto" w:before="0" w:after="40"/>
        <w:ind w:left="432" w:hanging="432"/>
        <w:jc w:val="both"/>
      </w:pPr>
      <w:r>
        <w:rPr>
          <w:b/>
          <w:sz w:val="16"/>
        </w:rPr>
        <w:t xml:space="preserve">[137] </w:t>
      </w:r>
      <w:r>
        <w:rPr>
          <w:sz w:val="16"/>
        </w:rPr>
        <w:t>M. Campbell et al., 'Synthesis without meta-analysis (SWiM) in systematic reviews: Reporting guideline,' BMJ, vol. 368, p. l6890, 2020, doi: 10.1136/bmj.l6890.</w:t>
      </w:r>
    </w:p>
    <w:p>
      <w:pPr>
        <w:spacing w:line="240" w:lineRule="auto" w:before="0" w:after="40"/>
        <w:ind w:left="432" w:hanging="432"/>
        <w:jc w:val="both"/>
      </w:pPr>
      <w:r>
        <w:rPr>
          <w:b/>
          <w:sz w:val="16"/>
        </w:rPr>
        <w:t xml:space="preserve">[138] </w:t>
      </w:r>
      <w:r>
        <w:rPr>
          <w:sz w:val="16"/>
        </w:rPr>
        <w:t>K. Petersen, S. Vakkalanka, and L. Kuzniarz, 'Guidelines for conducting systematic mapping studies in software engineering: An update,' Inf. Softw. Technol., vol. 64, pp. 1–18, 2015, doi: 10.1016/j.infsof.2015.03.007.</w:t>
      </w:r>
    </w:p>
    <w:p>
      <w:pPr>
        <w:spacing w:line="240" w:lineRule="auto" w:before="0" w:after="40"/>
        <w:ind w:left="432" w:hanging="432"/>
        <w:jc w:val="both"/>
      </w:pPr>
      <w:r>
        <w:rPr>
          <w:b/>
          <w:sz w:val="16"/>
        </w:rPr>
        <w:t xml:space="preserve">[139] </w:t>
      </w:r>
      <w:r>
        <w:rPr>
          <w:sz w:val="16"/>
        </w:rPr>
        <w:t>N. J. van Eck and L. Waltman, 'Software survey: VOSviewer, a computer program for bibliometric mapping,' Scientometrics, vol. 84, no. 2, pp. 523–538, 2010, doi: 10.1007/s11192-009-0146-3.</w:t>
      </w:r>
    </w:p>
    <w:p>
      <w:pPr>
        <w:spacing w:line="240" w:lineRule="auto" w:before="0" w:after="40"/>
        <w:ind w:left="432" w:hanging="432"/>
        <w:jc w:val="both"/>
      </w:pPr>
      <w:r>
        <w:rPr>
          <w:b/>
          <w:sz w:val="16"/>
        </w:rPr>
        <w:t xml:space="preserve">[140] </w:t>
      </w:r>
      <w:r>
        <w:rPr>
          <w:sz w:val="16"/>
        </w:rPr>
        <w:t>S. Lewin et al., 'Applying GRADE-CERQual to qualitative evidence synthesis findings: Introduction to the series,' Implement. Sci., vol. 13, suppl. 1, art. 2, 2018, doi: 10.1186/s13012-017-0688-3.</w:t>
      </w:r>
    </w:p>
    <w:sectPr w:rsidR="00FC693F" w:rsidRPr="0006063C" w:rsidSect="00034616">
      <w:type w:val="continuous"/>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