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0"/>
          <w:szCs w:val="20"/>
          <w:rtl w:val="0"/>
        </w:rPr>
        <w:t xml:space="preserve">UNIVERSIDAD TECNOLÓGICA DEL PERÚ</w:t>
        <w:br w:type="textWrapping"/>
        <w:t xml:space="preserve"> FACULTAD DE INGENIERÍA DE SISTEMAS E INFORMÁTICA</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Inteligencia Artificial para la automatización de procesos en el área de registro y validación documental de sistemas empresariales: revisión sistemática.</w:t>
      </w:r>
    </w:p>
    <w:p w:rsidR="00000000" w:rsidDel="00000000" w:rsidP="00000000" w:rsidRDefault="00000000" w:rsidRPr="00000000" w14:paraId="00000003">
      <w:pPr>
        <w:spacing w:after="280" w:lineRule="auto"/>
        <w:jc w:val="center"/>
        <w:rPr>
          <w:rFonts w:ascii="Times New Roman" w:cs="Times New Roman" w:eastAsia="Times New Roman" w:hAnsi="Times New Roman"/>
          <w:sz w:val="22"/>
          <w:szCs w:val="22"/>
        </w:rPr>
        <w:sectPr>
          <w:headerReference r:id="rId7" w:type="default"/>
          <w:pgSz w:h="15840" w:w="12240" w:orient="portrait"/>
          <w:pgMar w:bottom="1440" w:top="1077" w:left="980" w:right="980" w:header="708" w:footer="708"/>
          <w:pgNumType w:start="1"/>
        </w:sectPr>
      </w:pPr>
      <w:r>
        <w:t>Rupay Huancachoque Sergio André, Facultad de Ingeniería de Sistemas y Informática, Universidad Tecnológica del Perú, Lima, Perú</w:t>
        <w:br/>
        <w:t xml:space="preserve"> Docente: Jimmy Sánchez Portugal </w:t>
      </w:r>
    </w:p>
    <w:p w:rsidR="00000000" w:rsidDel="00000000" w:rsidP="00000000" w:rsidRDefault="00000000" w:rsidRPr="00000000" w14:paraId="00000004">
      <w:pPr>
        <w:numPr>
          <w:ilvl w:val="0"/>
          <w:numId w:val="1"/>
        </w:numPr>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sz w:val="20"/>
          <w:szCs w:val="20"/>
          <w:rtl w:val="0"/>
        </w:rPr>
        <w:t xml:space="preserve">NTRODUCCIÓN</w:t>
      </w:r>
      <w:r w:rsidDel="00000000" w:rsidR="00000000" w:rsidRPr="00000000">
        <w:rPr>
          <w:rtl w:val="0"/>
        </w:rPr>
      </w:r>
    </w:p>
    <w:p w:rsidR="00000000" w:rsidDel="00000000" w:rsidP="00000000" w:rsidRDefault="00000000" w:rsidRPr="00000000" w14:paraId="00000005">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ámbito empresarial contemporáneo, el procesamiento de grandes volúmenes de datos no estructurados representa un desafío y una oportunidad crítica para la productividad de las organizaciones [1], [2]. Se estima que aproximadamente el 80% de los datos generados internamente en las organizaciones son de carácter no estructurado, tales como imágenes de documentos, correos electrónicos, contratos, facturas y formularios [3], [4]. </w:t>
      </w:r>
    </w:p>
    <w:p w:rsidR="00000000" w:rsidDel="00000000" w:rsidP="00000000" w:rsidRDefault="00000000" w:rsidRPr="00000000" w14:paraId="00000006">
      <w:pPr>
        <w:ind w:firstLine="198"/>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El Procesamiento Inteligente de Documentos (IDP) y el Reconocimiento y Análisis de Documentos (DAR) se han constituido como disciplinas científicas esenciales para convertir esta información no estructurada en datos estructurados legibles e interpretables por computadoras, facilitando con ello su procesamiento y comprensión automatizada [5].</w:t>
      </w:r>
      <w:r w:rsidDel="00000000" w:rsidR="00000000" w:rsidRPr="00000000">
        <w:rPr>
          <w:rtl w:val="0"/>
        </w:rPr>
      </w:r>
    </w:p>
    <w:p w:rsidR="00000000" w:rsidDel="00000000" w:rsidP="00000000" w:rsidRDefault="00000000" w:rsidRPr="00000000" w14:paraId="00000007">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Históricamente, la digitalización dependía de herramientas rígidas de Reconocimiento Óptico de Caracteres (OCR) basadas en plantillas estáticas y reglas predefinidas [2]. No obstante, con la maduración de las técnicas de aprendizaje profundo (Deep Learning), el Procesamiento de Lenguaje Natural (NLP) y la Visión por Computadora (CV), los sistemas actuales logran extraer información clave (KIE) interpretando de forma conjunta la semántica textual, el diseño visual (</w:t>
      </w:r>
      <w:r w:rsidDel="00000000" w:rsidR="00000000" w:rsidRPr="00000000">
        <w:rPr>
          <w:rFonts w:ascii="Times New Roman" w:cs="Times New Roman" w:eastAsia="Times New Roman" w:hAnsi="Times New Roman"/>
          <w:i w:val="1"/>
          <w:iCs w:val="1"/>
          <w:sz w:val="20"/>
          <w:szCs w:val="20"/>
          <w:rtl w:val="0"/>
        </w:rPr>
        <w:t xml:space="preserve">layout</w:t>
      </w:r>
      <w:r w:rsidDel="00000000" w:rsidR="00000000" w:rsidRPr="00000000">
        <w:rPr>
          <w:rFonts w:ascii="Times New Roman" w:cs="Times New Roman" w:eastAsia="Times New Roman" w:hAnsi="Times New Roman"/>
          <w:sz w:val="20"/>
          <w:szCs w:val="20"/>
          <w:rtl w:val="0"/>
        </w:rPr>
        <w:t xml:space="preserve">) y la información espacial de los documentos visualmente ricos (VRDs) [2]. Esto permite realizar tareas complejas de inducción como la extracción de información clave (KIE) de manera estructurada y libre de plantillas rígidas [1].</w:t>
      </w:r>
    </w:p>
    <w:p w:rsidR="00000000" w:rsidDel="00000000" w:rsidP="00000000" w:rsidRDefault="00000000" w:rsidRPr="00000000" w14:paraId="00000008">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pesar del auge tecnológico de las técnicas de aprendizaje profundo, la transición desde los entornos académicos hacia las arquitecturas de producción industrial adolece de una falta de visión panorámica e integradora [3]. </w:t>
      </w:r>
    </w:p>
    <w:p w:rsidR="00000000" w:rsidDel="00000000" w:rsidP="00000000" w:rsidRDefault="00000000" w:rsidRPr="00000000" w14:paraId="00000009">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primer lugar, los métodos manuales y las tecnologías OCR tradicionales continúan siendo propensos a generar cuellos de botella operativos, altos costos y errores en los sistemas de registro y validación documental [2]. </w:t>
      </w:r>
    </w:p>
    <w:p w:rsidR="00000000" w:rsidDel="00000000" w:rsidP="00000000" w:rsidRDefault="00000000" w:rsidRPr="00000000" w14:paraId="0000000A">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segundo lugar, existe una discrepancia activa en el estado del arte respecto a la generalización de las soluciones de extracción, las cuales suelen entrenarse en benchmarks públicos controlados, pequeños y de idioma inglés (como FUNSD, CORD o SROIE) [1]. Estos conjuntos de datos a menudo contienen redundancias de diseño o inconsistencias de etiquetado, enmascarando las deficiencias del modelo ante </w:t>
      </w:r>
      <w:r w:rsidDel="00000000" w:rsidR="00000000" w:rsidRPr="00000000">
        <w:rPr>
          <w:rFonts w:ascii="Times New Roman" w:cs="Times New Roman" w:eastAsia="Times New Roman" w:hAnsi="Times New Roman"/>
          <w:i w:val="1"/>
          <w:iCs w:val="1"/>
          <w:sz w:val="20"/>
          <w:szCs w:val="20"/>
          <w:rtl w:val="0"/>
        </w:rPr>
        <w:t xml:space="preserve">layouts</w:t>
      </w:r>
      <w:r w:rsidDel="00000000" w:rsidR="00000000" w:rsidRPr="00000000">
        <w:rPr>
          <w:rFonts w:ascii="Times New Roman" w:cs="Times New Roman" w:eastAsia="Times New Roman" w:hAnsi="Times New Roman"/>
          <w:sz w:val="20"/>
          <w:szCs w:val="20"/>
          <w:rtl w:val="0"/>
        </w:rPr>
        <w:t xml:space="preserve"> complejos o deformados en entornos reales [2,5].</w:t>
      </w:r>
    </w:p>
    <w:p w:rsidR="00000000" w:rsidDel="00000000" w:rsidP="00000000" w:rsidRDefault="00000000" w:rsidRPr="00000000" w14:paraId="0000000B">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la literatura científica revela un vacío significativo en el tratamiento e integración de la extracción semántica con la lógica de procesos empresariales (ERP, CRM) y en la implementación de técnicas de validación y explicabilidad, las cuales son indispensables para asegurar la confiabilidad transaccional en sectores altamente regulados [4].</w:t>
      </w:r>
    </w:p>
    <w:p w:rsidR="00000000" w:rsidDel="00000000" w:rsidP="00000000" w:rsidRDefault="00000000" w:rsidRPr="00000000" w14:paraId="0000000C">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motivación fundamental detrás del desarrollo de esta revisión sistemática radica en la velocidad exponencial con la que avanzan los modelos de IA multimodal y generativa para la comprensión de documentos en el periodo de 2017 a 2024 [1,5].</w:t>
      </w:r>
    </w:p>
    <w:p w:rsidR="00000000" w:rsidDel="00000000" w:rsidP="00000000" w:rsidRDefault="00000000" w:rsidRPr="00000000" w14:paraId="0000000D">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Consolidar y sintetizar este cuerpo de evidencia científica es crucial para que los ingenieros de sistemas y arquitectos empresariales puedan identificar con precisión qué arquitecturas de red, ya sean basadas en secuencias, grafos o modelos multimodales masivos, son las más adecuadas para cada tipología documental [1,5].</w:t>
      </w:r>
    </w:p>
    <w:p w:rsidR="00000000" w:rsidDel="00000000" w:rsidP="00000000" w:rsidRDefault="00000000" w:rsidRPr="00000000" w14:paraId="0000000E">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de esta revisión servirán como guía metodológica y técnica para el diseño de flujos de trabajo automatizados de extremo a extremo, facilitando la transferencia tecnológica desde la teoría hacia implementaciones industriales robustas [3]. Al clasificar y analizar los desafíos del mundo real (como la privacidad de datos, la latencia de procesamiento y la validación de errores), se habilita a la industria para implementar soluciones de automatización eficientes que impacten directamente en la optimización operativa [2].</w:t>
      </w:r>
    </w:p>
    <w:p w:rsidR="00000000" w:rsidDel="00000000" w:rsidP="00000000" w:rsidRDefault="00000000" w:rsidRPr="00000000" w14:paraId="0000000F">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objetivo general de esta investigación es identificar, evaluar críticamente y sintetizar la evidencia científica acumulada entre 2017 y 2024 en torno a las técnicas de Inteligencia Artificial empleadas para la automatización del registro y validación de documentos dentro de las arquitecturas de sistemas empresariales [1,4].</w:t>
      </w:r>
    </w:p>
    <w:p w:rsidR="00000000" w:rsidDel="00000000" w:rsidP="00000000" w:rsidRDefault="00000000" w:rsidRPr="00000000" w14:paraId="00000010">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artículo se encuentra estructurado de la siguiente manera:</w:t>
      </w:r>
    </w:p>
    <w:p w:rsidR="00000000" w:rsidDel="00000000" w:rsidP="00000000" w:rsidRDefault="00000000" w:rsidRPr="00000000" w14:paraId="00000011">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1) Sección II (Metodología):</w:t>
      </w:r>
      <w:r w:rsidDel="00000000" w:rsidR="00000000" w:rsidRPr="00000000">
        <w:rPr>
          <w:rFonts w:ascii="Times New Roman" w:cs="Times New Roman" w:eastAsia="Times New Roman" w:hAnsi="Times New Roman"/>
          <w:sz w:val="20"/>
          <w:szCs w:val="20"/>
          <w:rtl w:val="0"/>
        </w:rPr>
        <w:t xml:space="preserve"> detalla el proceso sistemático empleado para la búsqueda, cribado y selección de los estudios primarios, garantizando la repetibilidad bajo el estándar Kitchenham.</w:t>
      </w:r>
    </w:p>
    <w:p w:rsidR="00000000" w:rsidDel="00000000" w:rsidP="00000000" w:rsidRDefault="00000000" w:rsidRPr="00000000" w14:paraId="00000012">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2) Sección III (Taxonomía y Caracterización):</w:t>
      </w:r>
      <w:r w:rsidDel="00000000" w:rsidR="00000000" w:rsidRPr="00000000">
        <w:rPr>
          <w:rFonts w:ascii="Times New Roman" w:cs="Times New Roman" w:eastAsia="Times New Roman" w:hAnsi="Times New Roman"/>
          <w:sz w:val="20"/>
          <w:szCs w:val="20"/>
          <w:rtl w:val="0"/>
        </w:rPr>
        <w:t xml:space="preserve"> presenta la caracterización general de las propuestas analizadas, clasificándolas según sus enfoques algorítmicos e inputs de datos.</w:t>
      </w:r>
    </w:p>
    <w:p w:rsidR="00000000" w:rsidDel="00000000" w:rsidP="00000000" w:rsidRDefault="00000000" w:rsidRPr="00000000" w14:paraId="00000013">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3) Sección IV (Análisis de Brechas):</w:t>
      </w:r>
      <w:r w:rsidDel="00000000" w:rsidR="00000000" w:rsidRPr="00000000">
        <w:rPr>
          <w:rFonts w:ascii="Times New Roman" w:cs="Times New Roman" w:eastAsia="Times New Roman" w:hAnsi="Times New Roman"/>
          <w:sz w:val="20"/>
          <w:szCs w:val="20"/>
          <w:rtl w:val="0"/>
        </w:rPr>
        <w:t xml:space="preserve"> profundiza en los desafíos metodológicos, de datos y de evaluación técnica identificados en la literatura.</w:t>
      </w:r>
    </w:p>
    <w:p w:rsidR="00000000" w:rsidDel="00000000" w:rsidP="00000000" w:rsidRDefault="00000000" w:rsidRPr="00000000" w14:paraId="00000014">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4) Sección V (Implicaciones Prácticas):</w:t>
      </w:r>
      <w:r w:rsidDel="00000000" w:rsidR="00000000" w:rsidRPr="00000000">
        <w:rPr>
          <w:rFonts w:ascii="Times New Roman" w:cs="Times New Roman" w:eastAsia="Times New Roman" w:hAnsi="Times New Roman"/>
          <w:sz w:val="20"/>
          <w:szCs w:val="20"/>
          <w:rtl w:val="0"/>
        </w:rPr>
        <w:t xml:space="preserve"> discute la viabilidad de integración de estas soluciones de IA en entornos corporativos de producción real.</w:t>
      </w:r>
    </w:p>
    <w:p w:rsidR="00000000" w:rsidDel="00000000" w:rsidP="00000000" w:rsidRDefault="00000000" w:rsidRPr="00000000" w14:paraId="00000015">
      <w:pPr>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5) Sección VI (Conclusiones):</w:t>
      </w:r>
      <w:r w:rsidDel="00000000" w:rsidR="00000000" w:rsidRPr="00000000">
        <w:rPr>
          <w:rFonts w:ascii="Times New Roman" w:cs="Times New Roman" w:eastAsia="Times New Roman" w:hAnsi="Times New Roman"/>
          <w:sz w:val="20"/>
          <w:szCs w:val="20"/>
          <w:rtl w:val="0"/>
        </w:rPr>
        <w:t xml:space="preserve"> expone las conclusiones generales del estudio y propone una agenda de investigación futura para la academia y la industria.</w:t>
      </w:r>
    </w:p>
    <w:p w:rsidR="00000000" w:rsidDel="00000000" w:rsidP="00000000" w:rsidRDefault="00000000" w:rsidRPr="00000000" w14:paraId="0000001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sz w:val="20"/>
          <w:szCs w:val="20"/>
          <w:rtl w:val="0"/>
        </w:rPr>
        <w:t xml:space="preserve">EFERENCIAS</w:t>
      </w:r>
    </w:p>
    <w:p w:rsidR="00000000" w:rsidDel="00000000" w:rsidP="00000000" w:rsidRDefault="00000000" w:rsidRPr="00000000" w14:paraId="00000018">
      <w:pPr>
        <w:ind w:left="3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A. M. Rombach and P. Fettke, “Deep Learning Based Key Information Extraction from Business Documents: Systematic Literature Review,” ACM Computing Surveys, vol. 58, no. 2, Art. no. 45, Sep. 2025.</w:t>
      </w:r>
    </w:p>
    <w:p w:rsidR="00000000" w:rsidDel="00000000" w:rsidP="00000000" w:rsidRDefault="00000000" w:rsidRPr="00000000" w14:paraId="00000019">
      <w:pPr>
        <w:ind w:left="3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tab/>
        <w:t xml:space="preserve">D. Baviskar, S. Ahirrao, V. Potdar, and K. Kotecha, “Efficient Automated Processing of the Unstructured Documents Using Artificial Intelligence: A Systematic Literature Review and Future Directions,” IEEE Access, vol. 9, pp. 72894-72936, May 2021.</w:t>
      </w:r>
    </w:p>
    <w:p w:rsidR="00000000" w:rsidDel="00000000" w:rsidP="00000000" w:rsidRDefault="00000000" w:rsidRPr="00000000" w14:paraId="0000001A">
      <w:pPr>
        <w:ind w:left="3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tab/>
        <w:t xml:space="preserve">J. L. Alonso-Rocha, A. Martínez-Rojas, J. G. Enríquez, and J. M. Sánchez-Oliva, “From manual to automated: A state-of-the-art review to examine the impact of intelligent document processing in banking automation,” Expert Systems with Applications, vol. 285, p. 127958, Apr. 2025.</w:t>
      </w:r>
    </w:p>
    <w:p w:rsidR="00000000" w:rsidDel="00000000" w:rsidP="00000000" w:rsidRDefault="00000000" w:rsidRPr="00000000" w14:paraId="0000001B">
      <w:pPr>
        <w:ind w:left="3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tab/>
        <w:t xml:space="preserve">C. L. Liu, L. W. Jin, X. Bai, X. H. Li, and F. Yin, “Frontiers of intelligent document analysis and recognition: Review and prospects,” Journal of Image and Graphics, vol. 28, no. 8, pp. 2223-2252, Aug. 2023.</w:t>
      </w:r>
    </w:p>
    <w:p w:rsidR="00000000" w:rsidDel="00000000" w:rsidP="00000000" w:rsidRDefault="00000000" w:rsidRPr="00000000" w14:paraId="0000001C">
      <w:pPr>
        <w:ind w:left="360" w:hanging="360"/>
        <w:jc w:val="both"/>
        <w:rPr>
          <w:rFonts w:ascii="Times New Roman" w:cs="Times New Roman" w:eastAsia="Times New Roman" w:hAnsi="Times New Roman"/>
          <w:sz w:val="16"/>
          <w:szCs w:val="16"/>
        </w:rPr>
        <w:sectPr>
          <w:type w:val="continuous"/>
          <w:pgSz w:h="15840" w:w="12240" w:orient="portrait"/>
          <w:pgMar w:bottom="1440" w:top="1077" w:left="980" w:right="980" w:header="708" w:footer="708"/>
          <w:cols w:equalWidth="0" w:num="2">
            <w:col w:space="238" w:w="5021"/>
            <w:col w:space="0" w:w="5021"/>
          </w:cols>
        </w:sectPr>
      </w:pPr>
      <w:r w:rsidDel="00000000" w:rsidR="00000000" w:rsidRPr="00000000">
        <w:rPr>
          <w:rFonts w:ascii="Times New Roman" w:cs="Times New Roman" w:eastAsia="Times New Roman" w:hAnsi="Times New Roman"/>
          <w:sz w:val="16"/>
          <w:szCs w:val="16"/>
          <w:rtl w:val="0"/>
        </w:rPr>
        <w:t xml:space="preserve">[5]</w:t>
        <w:tab/>
        <w:t xml:space="preserve">S. R. Suresh, Shraddha C., Sai kiran, and S. Chidaravalli, “A Systematic Survey of Techniques for Document Processing and Natural Language Understanding,” International Journal of Advanced Research in Computer and Communication Engineering, vol. 13, no. 1, pp. 126-134, Jan. 2024.</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077" w:left="980" w:right="9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tabs>
        <w:tab w:val="center" w:leader="none" w:pos="4680"/>
        <w:tab w:val="right" w:leader="none" w:pos="9360"/>
      </w:tabs>
      <w:spacing w:after="0" w:line="240" w:lineRule="auto"/>
      <w:ind w:left="-115"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sz w:val="26"/>
        <w:szCs w:val="26"/>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44450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44450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44450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44450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44450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444502"/>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444502"/>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444502"/>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44450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44450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44450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444502"/>
    <w:rPr>
      <w:rFonts w:cstheme="majorBidi" w:eastAsiaTheme="majorEastAsia"/>
      <w:color w:val="272727" w:themeColor="text1" w:themeTint="0000D8"/>
    </w:rPr>
  </w:style>
  <w:style w:type="character" w:styleId="TtuloCar" w:customStyle="1">
    <w:name w:val="Título Car"/>
    <w:basedOn w:val="Fuentedeprrafopredeter"/>
    <w:uiPriority w:val="10"/>
    <w:rsid w:val="0044450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44450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44450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444502"/>
    <w:rPr>
      <w:i w:val="1"/>
      <w:iCs w:val="1"/>
      <w:color w:val="404040" w:themeColor="text1" w:themeTint="0000BF"/>
    </w:rPr>
  </w:style>
  <w:style w:type="paragraph" w:styleId="Prrafodelista">
    <w:name w:val="List Paragraph"/>
    <w:basedOn w:val="Normal"/>
    <w:uiPriority w:val="34"/>
    <w:qFormat w:val="1"/>
    <w:rsid w:val="00444502"/>
    <w:pPr>
      <w:ind w:left="720"/>
      <w:contextualSpacing w:val="1"/>
    </w:pPr>
  </w:style>
  <w:style w:type="character" w:styleId="nfasisintenso">
    <w:name w:val="Intense Emphasis"/>
    <w:basedOn w:val="Fuentedeprrafopredeter"/>
    <w:uiPriority w:val="21"/>
    <w:qFormat w:val="1"/>
    <w:rsid w:val="00444502"/>
    <w:rPr>
      <w:i w:val="1"/>
      <w:iCs w:val="1"/>
      <w:color w:val="0f4761" w:themeColor="accent1" w:themeShade="0000BF"/>
    </w:rPr>
  </w:style>
  <w:style w:type="paragraph" w:styleId="Citadestacada">
    <w:name w:val="Intense Quote"/>
    <w:basedOn w:val="Normal"/>
    <w:next w:val="Normal"/>
    <w:link w:val="CitadestacadaCar"/>
    <w:uiPriority w:val="30"/>
    <w:qFormat w:val="1"/>
    <w:rsid w:val="0044450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444502"/>
    <w:rPr>
      <w:i w:val="1"/>
      <w:iCs w:val="1"/>
      <w:color w:val="0f4761" w:themeColor="accent1" w:themeShade="0000BF"/>
    </w:rPr>
  </w:style>
  <w:style w:type="character" w:styleId="Referenciaintensa">
    <w:name w:val="Intense Reference"/>
    <w:basedOn w:val="Fuentedeprrafopredeter"/>
    <w:uiPriority w:val="32"/>
    <w:qFormat w:val="1"/>
    <w:rsid w:val="00444502"/>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BB3EE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B3EEE"/>
  </w:style>
  <w:style w:type="paragraph" w:styleId="Piedepgina">
    <w:name w:val="footer"/>
    <w:basedOn w:val="Normal"/>
    <w:link w:val="PiedepginaCar"/>
    <w:uiPriority w:val="99"/>
    <w:unhideWhenUsed w:val="1"/>
    <w:rsid w:val="00BB3EE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B3EEE"/>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MSYbacROg1T+mZshKHPYweNMlg==">CgMxLjA4AHIhMVJIdzdVazFhMWdxdktsRlVRR2hlU0d1dWhJLUxHTzZ0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2026-08-31T16:28:00Z</dcterms:created>
  <dc:creator>ALUMNO - RODRIGO EDUARDO GALLEGOS CARTAGENA</dc:creator>
</cp:coreProperties>
</file>