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9"/>
        </w:rPr>
        <w:t>UNIVERSIDAD TECNOLÓGICA DEL PERÚ</w:t>
        <w:br/>
        <w:t>FACULTAD DE INGENIERÍA DE SISTEMAS E INFORMÁTICA</w:t>
      </w:r>
    </w:p>
    <w:p>
      <w:pPr>
        <w:spacing w:before="160" w:after="120"/>
        <w:jc w:val="center"/>
      </w:pPr>
      <w:r>
        <w:rPr>
          <w:rFonts w:ascii="Times New Roman" w:hAnsi="Times New Roman"/>
          <w:b/>
          <w:sz w:val="36"/>
        </w:rPr>
        <w:t>Inteligencia Artificial para la Automatización del Registro y Validación de Documentos Empresariales: Una Revisión Sistemática de la Literatura</w:t>
      </w:r>
    </w:p>
    <w:p>
      <w:pPr>
        <w:spacing w:before="80" w:after="40"/>
        <w:jc w:val="center"/>
      </w:pPr>
      <w:r>
        <w:rPr>
          <w:rFonts w:ascii="Times New Roman" w:hAnsi="Times New Roman"/>
          <w:b/>
          <w:sz w:val="21"/>
        </w:rPr>
        <w:t>Sergio André Rupay Huancachoque</w:t>
      </w:r>
    </w:p>
    <w:p>
      <w:pPr>
        <w:spacing w:before="0" w:after="160"/>
        <w:jc w:val="center"/>
      </w:pPr>
      <w:r>
        <w:rPr>
          <w:rFonts w:ascii="Times New Roman" w:hAnsi="Times New Roman"/>
          <w:i/>
          <w:sz w:val="17"/>
        </w:rPr>
        <w:t>Facultad de Ingeniería de Sistemas e Informática, Universidad Tecnológica del Perú, Lima, Perú</w:t>
        <w:br/>
        <w:t>Docente Asesor: Mg. Jimmy Sánchez Portugal | Formación para la Investigación</w:t>
        <w:br/>
        <w:t>Artículo RSL: Introducción, Metodología y Resultados | Corpus Primario Final: N = 131 artículos de revista científica (4 nucleares)</w:t>
      </w:r>
    </w:p>
    <w:p>
      <w:pPr>
        <w:spacing w:before="80" w:after="40"/>
        <w:ind w:left="432" w:right="432"/>
      </w:pPr>
      <w:r>
        <w:rPr>
          <w:b/>
          <w:i/>
          <w:sz w:val="18"/>
        </w:rPr>
        <w:t xml:space="preserve">Resumen— </w:t>
      </w:r>
      <w:r>
        <w:rPr>
          <w:sz w:val="18"/>
        </w:rPr>
        <w:t>El procesamiento y validación de datos no estructurados y semiestructurados en documentos empresariales (facturas, recibos, órdenes de compra y tablas financieras) representa uno de los mayores desafíos para la productividad organizacional y la integración transaccional en sistemas corporativos (ERP, CRM, DMS). Esta Revisión Sistemática de la Literatura (RSL) analiza el estado del arte y la evidencia empírica acumulada entre 2020 y 2025 sobre el impacto de las arquitecturas de Inteligencia Artificial (IA) y Procesamiento Inteligente de Documentos (IDP). Siguiendo las directrices metodológicas de Kitchenham &amp; Charters (2007) y el protocolo PRISMA 2020, se ejecutó una búsqueda exhaustiva calibrada en Scopus (n = 311) y Web of Science Core Collection (n = 266), recuperando 577 registros brutos 100% de revista científica. Tras un proceso de deduplicación computacional rigurosa (239 duplicados eliminados), cribado temático en doble ciego (κ = 0.88, 41 excluidos con 0% de ruido médico) y evaluación crítica a texto completo bajo control de calidad QA (κ = 0.92, 166 excluidos, incluyendo 20 justificados individualmente bajo el ítem 7 de AMSTAR 2 y 146 de OCR genérico no empresarial), se consolidó un corpus final primario de N = 131 estudios de revista científica (100% Journal Articles revisados por pares). A partir de este corpus, se identificaron cuatro estudios nucleares paradigmáticos de alto impacto (Elsevier Q1, IEEE Q1, MDPI Q2) y se sintetizó la evidencia en torno a cuatro preguntas de investigación temáticas y tres descriptivas. Los resultados demuestran que las arquitecturas neuronales multimodales (LayoutLM, transformers visual-lingüísticos y VLMs) superan consistentemente a los enfoques tradicionales basados en reglas y OCR clásico, alcanzando puntajes F1 superiores al 92% en extracción de información clave (KIE) y reducciones de latencia operativa de hasta un 70%, transformando la eficiencia de los flujos transaccionales corporativos.</w:t>
      </w:r>
    </w:p>
    <w:p>
      <w:pPr>
        <w:spacing w:before="40" w:after="240"/>
        <w:ind w:left="432" w:right="432"/>
      </w:pPr>
      <w:r>
        <w:rPr>
          <w:b/>
          <w:i/>
          <w:sz w:val="18"/>
        </w:rPr>
        <w:t xml:space="preserve">Palabras clave— </w:t>
      </w:r>
      <w:r>
        <w:rPr>
          <w:sz w:val="18"/>
        </w:rPr>
        <w:t>Inteligencia artificial, procesamiento inteligente de documentos (IDP), extracción de información clave (KIE), sistemas de planificación de recursos empresariales (ERP), transformers multimodales, revisión sistemática de literatura, PRISMA 2020, Kitchenham.</w:t>
      </w:r>
    </w:p>
    <w:p>
      <w:pPr>
        <w:sectPr>
          <w:pgSz w:w="12240" w:h="15840"/>
          <w:pgMar w:top="1080" w:right="1080" w:bottom="1080" w:left="1080" w:header="576" w:footer="576" w:gutter="0"/>
          <w:cols w:space="720"/>
          <w:docGrid w:linePitch="360"/>
        </w:sectPr>
      </w:pPr>
    </w:p>
    <w:p>
      <w:pPr>
        <w:keepNext/>
        <w:spacing w:before="220" w:after="80"/>
        <w:jc w:val="center"/>
      </w:pPr>
      <w:r>
        <w:rPr>
          <w:rFonts w:ascii="Times New Roman" w:hAnsi="Times New Roman"/>
          <w:b/>
          <w:sz w:val="20"/>
        </w:rPr>
        <w:t>I. INTRODUCCIÓN</w:t>
      </w:r>
    </w:p>
    <w:p>
      <w:pPr>
        <w:keepNext/>
        <w:spacing w:before="160" w:after="40"/>
        <w:jc w:val="left"/>
      </w:pPr>
      <w:r>
        <w:rPr>
          <w:rFonts w:ascii="Times New Roman" w:hAnsi="Times New Roman"/>
          <w:b/>
          <w:i/>
          <w:sz w:val="19"/>
        </w:rPr>
        <w:t>A. Contexto Tecnológico y Relevancia Industrial</w:t>
      </w:r>
    </w:p>
    <w:p>
      <w:pPr>
        <w:spacing w:line="240" w:lineRule="auto" w:before="0" w:after="80"/>
        <w:jc w:val="both"/>
      </w:pPr>
      <w:r>
        <w:rPr>
          <w:rFonts w:ascii="Times New Roman" w:hAnsi="Times New Roman"/>
          <w:i w:val="0"/>
          <w:sz w:val="19"/>
        </w:rPr>
        <w:t>En la era de la transformación digital, las organizaciones empresariales procesan diariamente volúmenes ingentes de documentos semiestructurados y no estructurados, tales como facturas de proveedores, recibos de caja, notas de crédito, órdenes de compra y extractos bancarios. Históricamente, la captura, transcripción y verificación de estos comprobantes ha dependido de la intervención manual humana o de sistemas tradicionales de Reconocimiento Óptico de Caracteres (OCR) basados en reglas sintácticas y plantillas rígidas (templates).</w:t>
      </w:r>
    </w:p>
    <w:p>
      <w:pPr>
        <w:spacing w:line="240" w:lineRule="auto" w:before="0" w:after="80"/>
        <w:jc w:val="both"/>
      </w:pPr>
      <w:r>
        <w:rPr>
          <w:rFonts w:ascii="Times New Roman" w:hAnsi="Times New Roman"/>
          <w:i w:val="0"/>
          <w:sz w:val="19"/>
        </w:rPr>
        <w:t>Este esquema tradicional presenta severas limitaciones de escalabilidad operativa: una alta tasa de error por fatiga humana, costos laborales recurrentes, lentitud en los ciclos de conciliación contable y una extrema fragilidad ante cualquier variación mínima en el diseño o formato de los documentos. Frente a este panorama, la convergencia del Deep Learning, el Procesamiento del Lenguaje Natural (PLN) y la Visión por Computadora ha dado origen al Procesamiento Inteligente de Documentos (IDP) y la Extracción de Información Clave (Key Information Extraction - KIE). Modelos multimodales avanzados (como LayoutLM, DocFormer y Vision-Language Models) permiten interpretar simultáneamente la información textual, la disposición espacial (layout) y los atributos visuales de los documentos visualmente ricos (Visually Rich Documents - VRD), habilitando una automatización de extremo a extremo de alta exactitud.</w:t>
      </w:r>
    </w:p>
    <w:p>
      <w:pPr>
        <w:keepNext/>
        <w:spacing w:before="160" w:after="40"/>
        <w:jc w:val="left"/>
      </w:pPr>
      <w:r>
        <w:rPr>
          <w:rFonts w:ascii="Times New Roman" w:hAnsi="Times New Roman"/>
          <w:b/>
          <w:i/>
          <w:sz w:val="19"/>
        </w:rPr>
        <w:t>B. Planteamiento del Problema y Brechas en la Literatura</w:t>
      </w:r>
    </w:p>
    <w:p>
      <w:pPr>
        <w:spacing w:line="240" w:lineRule="auto" w:before="0" w:after="80"/>
        <w:jc w:val="both"/>
      </w:pPr>
      <w:r>
        <w:rPr>
          <w:rFonts w:ascii="Times New Roman" w:hAnsi="Times New Roman"/>
          <w:i w:val="0"/>
          <w:sz w:val="19"/>
        </w:rPr>
        <w:t>A pesar de los acelerados avances algorítmicos en modelos fundacionales y aprendizaje profundo, la literatura científica evidencia tres brechas críticas que dificultan la toma de decisiones informadas para la implementación en entornos de producción:</w:t>
      </w:r>
    </w:p>
    <w:p>
      <w:pPr>
        <w:spacing w:line="240" w:lineRule="auto" w:before="0" w:after="80"/>
        <w:jc w:val="both"/>
      </w:pPr>
      <w:r>
        <w:rPr>
          <w:rFonts w:ascii="Times New Roman" w:hAnsi="Times New Roman"/>
          <w:b/>
          <w:sz w:val="19"/>
        </w:rPr>
        <w:t xml:space="preserve">1) Fragilidad Operativa de Enfoques Tradicionales: </w:t>
      </w:r>
      <w:r>
        <w:rPr>
          <w:rFonts w:ascii="Times New Roman" w:hAnsi="Times New Roman"/>
          <w:i w:val="0"/>
          <w:sz w:val="19"/>
        </w:rPr>
        <w:t>El procesamiento manual y los flujos asistidos por OCR convencional continúan generando cuellos de botella operativos sustanciales, con tiempos de respuesta que oscilan entre 24 y 72 horas por lote y tasas de error de digitación que oscilan entre el 2% y el 8%, repercutiendo en multas tributarias y demoras en pagos a proveedores.</w:t>
      </w:r>
    </w:p>
    <w:p>
      <w:pPr>
        <w:spacing w:line="240" w:lineRule="auto" w:before="0" w:after="80"/>
        <w:jc w:val="both"/>
      </w:pPr>
      <w:r>
        <w:rPr>
          <w:rFonts w:ascii="Times New Roman" w:hAnsi="Times New Roman"/>
          <w:b/>
          <w:sz w:val="19"/>
        </w:rPr>
        <w:t xml:space="preserve">2) Sesgos y Desconexión de los Benchmarks: </w:t>
      </w:r>
      <w:r>
        <w:rPr>
          <w:rFonts w:ascii="Times New Roman" w:hAnsi="Times New Roman"/>
          <w:i w:val="0"/>
          <w:sz w:val="19"/>
        </w:rPr>
        <w:t>Gran parte de la literatura académica evalúa sus algoritmos sobre conjuntos de datos públicos controlados, sintéticos o exclusivamente en inglés (como SROIE, FUNSD y CORD), los cuales no reflejan las complejidades del mundo real: documentos con baja resolución de escaneo, sellos y firmas superpuestas, tablas contables anidadas sin bordes y normativas fiscales locales.</w:t>
      </w:r>
    </w:p>
    <w:p>
      <w:pPr>
        <w:spacing w:line="240" w:lineRule="auto" w:before="0" w:after="80"/>
        <w:jc w:val="both"/>
      </w:pPr>
      <w:r>
        <w:rPr>
          <w:rFonts w:ascii="Times New Roman" w:hAnsi="Times New Roman"/>
          <w:b/>
          <w:sz w:val="19"/>
        </w:rPr>
        <w:t xml:space="preserve">3) Aislamiento Transaccional con Sistemas ERP: </w:t>
      </w:r>
      <w:r>
        <w:rPr>
          <w:rFonts w:ascii="Times New Roman" w:hAnsi="Times New Roman"/>
          <w:i w:val="0"/>
          <w:sz w:val="19"/>
        </w:rPr>
        <w:t>Existe una marcada escasez de investigaciones que aborden la integración transaccional directa de extremo a extremo entre los pipelines de IDP y los sistemas empresariales corporativos (ERP, CRM y DMS), evaluando de forma simultánea la latencia de inferencia en tiempo real, el consumo de recursos computacionales (GPU vs. CPU) y los protocolos de dirimencia humano-en-el-bucle (Human-in-the-Loop).</w:t>
      </w:r>
    </w:p>
    <w:p>
      <w:pPr>
        <w:keepNext/>
        <w:spacing w:before="160" w:after="40"/>
        <w:jc w:val="left"/>
      </w:pPr>
      <w:r>
        <w:rPr>
          <w:rFonts w:ascii="Times New Roman" w:hAnsi="Times New Roman"/>
          <w:b/>
          <w:i/>
          <w:sz w:val="19"/>
        </w:rPr>
        <w:t>C. Motivación, Pregunta Maestra y Objetivos</w:t>
      </w:r>
    </w:p>
    <w:p>
      <w:pPr>
        <w:spacing w:line="240" w:lineRule="auto" w:before="0" w:after="80"/>
        <w:jc w:val="both"/>
      </w:pPr>
      <w:r>
        <w:rPr>
          <w:rFonts w:ascii="Times New Roman" w:hAnsi="Times New Roman"/>
          <w:i w:val="0"/>
          <w:sz w:val="19"/>
        </w:rPr>
        <w:t>La rápida evolución tecnológica acumulada entre 2020 y 2025 exige una consolidación metodológica rigurosa que sirva de guía a investigadores y líderes de tecnología para identificar qué arquitecturas de IA ofrecen el mejor balance entre precisión, velocidad y costo de integración.</w:t>
      </w:r>
    </w:p>
    <w:p>
      <w:pPr>
        <w:spacing w:line="240" w:lineRule="auto" w:before="0" w:after="80"/>
        <w:ind w:left="160"/>
        <w:jc w:val="both"/>
      </w:pPr>
      <w:r>
        <w:rPr>
          <w:rFonts w:ascii="Times New Roman" w:hAnsi="Times New Roman"/>
          <w:i w:val="0"/>
          <w:sz w:val="19"/>
        </w:rPr>
        <w:t>Fundamentada en el marco PICOC y los criterios FINER de viabilidad e interés científico, la investigación plantea la siguiente Pregunta Maestra:</w:t>
      </w:r>
    </w:p>
    <w:p>
      <w:pPr>
        <w:spacing w:line="240" w:lineRule="auto" w:before="0" w:after="80"/>
        <w:ind w:left="240"/>
        <w:jc w:val="both"/>
      </w:pPr>
      <w:r>
        <w:rPr>
          <w:rFonts w:ascii="Times New Roman" w:hAnsi="Times New Roman"/>
          <w:i/>
          <w:sz w:val="19"/>
        </w:rPr>
        <w:t>«¿Cuál es el impacto de las arquitecturas de Inteligencia Artificial y Procesamiento Inteligente de Documentos (IDP), frente al ingreso manual y enfoques basados en reglas, sobre la precisión, la velocidad y la reducción de la carga operativa en el registro y validación documental dentro de sistemas empresariales, entre 2020 y 2025?»</w:t>
      </w:r>
    </w:p>
    <w:p>
      <w:pPr>
        <w:spacing w:line="240" w:lineRule="auto" w:before="0" w:after="80"/>
        <w:jc w:val="both"/>
      </w:pPr>
      <w:r>
        <w:rPr>
          <w:rFonts w:ascii="Times New Roman" w:hAnsi="Times New Roman"/>
          <w:i w:val="0"/>
          <w:sz w:val="19"/>
        </w:rPr>
        <w:t>El objetivo general consiste en sintetizar críticamente la evidencia empírica acumulada a nivel internacional sobre las arquitecturas de IA/IDP, cuantificando su rendimiento y comparando sus ventajas frente a los métodos convencionales en entornos corporativos.</w:t>
      </w:r>
    </w:p>
    <w:p>
      <w:pPr>
        <w:keepNext/>
        <w:spacing w:before="160" w:after="40"/>
        <w:jc w:val="left"/>
      </w:pPr>
      <w:r>
        <w:rPr>
          <w:rFonts w:ascii="Times New Roman" w:hAnsi="Times New Roman"/>
          <w:b/>
          <w:i/>
          <w:sz w:val="19"/>
        </w:rPr>
        <w:t>D. Estructura del Documento</w:t>
      </w:r>
    </w:p>
    <w:p>
      <w:pPr>
        <w:spacing w:line="240" w:lineRule="auto" w:before="0" w:after="80"/>
        <w:jc w:val="both"/>
      </w:pPr>
      <w:r>
        <w:rPr>
          <w:rFonts w:ascii="Times New Roman" w:hAnsi="Times New Roman"/>
          <w:i w:val="0"/>
          <w:sz w:val="19"/>
        </w:rPr>
        <w:t>El artículo se estructura de la siguiente manera: la Sección II detalla la Metodología de la Revisión Sistemática (protocolo, marco PICOC, estrategia de búsqueda calibrada, criterios de inclusión/exclusión, flujo PRISMA 2020, control de calidad Kitchenham, matriz AMSTAR 2 y mapeo); y la Sección III lista las Referencias Bibliográficas en formato IEEE estricto.</w:t>
      </w:r>
    </w:p>
    <w:p>
      <w:pPr>
        <w:keepNext/>
        <w:spacing w:before="220" w:after="80"/>
        <w:jc w:val="center"/>
      </w:pPr>
      <w:r>
        <w:rPr>
          <w:rFonts w:ascii="Times New Roman" w:hAnsi="Times New Roman"/>
          <w:b/>
          <w:sz w:val="20"/>
        </w:rPr>
        <w:t>II. METODOLOGÍA DE LA REVISIÓN SISTEMÁTICA</w:t>
      </w:r>
    </w:p>
    <w:p>
      <w:pPr>
        <w:keepNext/>
        <w:spacing w:before="160" w:after="40"/>
        <w:jc w:val="left"/>
      </w:pPr>
      <w:r>
        <w:rPr>
          <w:rFonts w:ascii="Times New Roman" w:hAnsi="Times New Roman"/>
          <w:b/>
          <w:i/>
          <w:sz w:val="19"/>
        </w:rPr>
        <w:t>A. Encuadre Metodológico y Estándares</w:t>
      </w:r>
    </w:p>
    <w:p>
      <w:pPr>
        <w:spacing w:line="240" w:lineRule="auto" w:before="0" w:after="80"/>
        <w:jc w:val="both"/>
      </w:pPr>
      <w:r>
        <w:rPr>
          <w:rFonts w:ascii="Times New Roman" w:hAnsi="Times New Roman"/>
          <w:i w:val="0"/>
          <w:sz w:val="19"/>
        </w:rPr>
        <w:t>La revisión sistemática se diseñó y ejecutó siguiendo las directrices metodológicas de Kitchenham &amp; Charters (2007) [1] para la ingeniería de software y sistemas de información, y se reporta en conformidad con la declaración PRISMA 2020 (Preferred Reporting Items for Systematic Reviews and Meta-Analyses) [2]. El protocolo se definió a priori para garantizar la objetividad, trazabilidad y reproducibilidad del estudio.</w:t>
      </w:r>
    </w:p>
    <w:p>
      <w:pPr>
        <w:keepNext/>
        <w:spacing w:before="160" w:after="40"/>
        <w:jc w:val="left"/>
      </w:pPr>
      <w:r>
        <w:rPr>
          <w:rFonts w:ascii="Times New Roman" w:hAnsi="Times New Roman"/>
          <w:b/>
          <w:i/>
          <w:sz w:val="19"/>
        </w:rPr>
        <w:t>B. Delimitación Temática y Marco PICOC</w:t>
      </w:r>
    </w:p>
    <w:p>
      <w:pPr>
        <w:spacing w:line="240" w:lineRule="auto" w:before="0" w:after="80"/>
        <w:jc w:val="both"/>
      </w:pPr>
      <w:r>
        <w:rPr>
          <w:rFonts w:ascii="Times New Roman" w:hAnsi="Times New Roman"/>
          <w:i w:val="0"/>
          <w:sz w:val="19"/>
        </w:rPr>
        <w:t>Para formalizar el alcance conceptual y prevenir ambigüedades, se estructuró la investigación mediante el marco PICOC (ver Tabla I), delimitando el dominio a sistemas empresariales corporativos estrictamente privados (ERP, CRM, DMS), excluyendo expedientes clínicos hospitalarios, documentos gubernamentales y archivos históricos.</w:t>
      </w:r>
    </w:p>
    <w:p>
      <w:pPr>
        <w:keepNext/>
        <w:spacing w:before="140" w:after="20"/>
        <w:jc w:val="center"/>
      </w:pPr>
      <w:r>
        <w:rPr>
          <w:rFonts w:ascii="Times New Roman" w:hAnsi="Times New Roman"/>
          <w:b/>
          <w:sz w:val="16"/>
        </w:rPr>
        <w:t>TABLA I</w:t>
        <w:br/>
      </w:r>
      <w:r>
        <w:rPr>
          <w:rFonts w:ascii="Times New Roman" w:hAnsi="Times New Roman"/>
          <w:sz w:val="16"/>
        </w:rPr>
        <w:t>COMPONENTES DEL MARCO PICOC</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Componente</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Definición para este Estudio</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Justificación Metodológica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 — Población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Sistemas de información empresariales (ERP, CRM, DMS) y flujos internos de registro documental.</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Entorno operativo corporativo donde se generan cuellos de botella por ingreso manual.</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 — Intervención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Modelos de IA e IDP (Visión-Lenguaje, LayoutLM, Transformers multimodales, KIE, OCR profundo).</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Tecnología de automatización cognitiva cuyo rendimiento empírico se evalúa.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 — Comparación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Ingreso manual de datos o procesamiento tradicional basado en reglas fijas y plantillas rígidas.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Línea base convencional frente a la cual se mide la ganancia en exactitud y velocidad.</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O — Resultado</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Niveles de automatización, reducción de carga laboral, exactitud (F1-score, CER/WER) y latencia.</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Variables cuantitativas críticas para la viabilidad técnica y operativa.</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 — Contexto</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Entornos empresariales corporativos privados y ventana temporal comprendida entre 2020 y 2025.</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Período de maduración de los modelos neuronales multimodales aplicados.</w:t>
            </w:r>
          </w:p>
        </w:tc>
      </w:tr>
    </w:tbl>
    <w:p>
      <w:pPr>
        <w:keepNext/>
        <w:spacing w:before="160" w:after="40"/>
        <w:jc w:val="left"/>
      </w:pPr>
      <w:r>
        <w:rPr>
          <w:rFonts w:ascii="Times New Roman" w:hAnsi="Times New Roman"/>
          <w:b/>
          <w:i/>
          <w:sz w:val="19"/>
        </w:rPr>
        <w:t>C. Descomposición en Preguntas de Investigación (PI y PD)</w:t>
      </w:r>
    </w:p>
    <w:p>
      <w:pPr>
        <w:spacing w:line="240" w:lineRule="auto" w:before="0" w:after="80"/>
        <w:jc w:val="both"/>
      </w:pPr>
      <w:r>
        <w:rPr>
          <w:rFonts w:ascii="Times New Roman" w:hAnsi="Times New Roman"/>
          <w:i w:val="0"/>
          <w:sz w:val="19"/>
        </w:rPr>
        <w:t>La pregunta maestra se desglosa operativamente en cuatro Preguntas de Investigación (PI) temáticas y tres Preguntas Descriptivas (PD) de carácter bibliométrico (ver Tabla II):</w:t>
      </w:r>
    </w:p>
    <w:p>
      <w:pPr>
        <w:keepNext/>
        <w:spacing w:before="140" w:after="20"/>
        <w:jc w:val="center"/>
      </w:pPr>
      <w:r>
        <w:rPr>
          <w:rFonts w:ascii="Times New Roman" w:hAnsi="Times New Roman"/>
          <w:b/>
          <w:sz w:val="16"/>
        </w:rPr>
        <w:t>TABLA II</w:t>
        <w:br/>
      </w:r>
      <w:r>
        <w:rPr>
          <w:rFonts w:ascii="Times New Roman" w:hAnsi="Times New Roman"/>
          <w:sz w:val="16"/>
        </w:rPr>
        <w:t>PREGUNTAS DE INVESTIGACIÓN TEMÁTICAS (PI) Y BIBLIOMÉTRICAS (PD)</w:t>
      </w:r>
    </w:p>
    <w:tbl>
      <w:tblPr>
        <w:tblW w:type="auto" w:w="0"/>
        <w:jc w:val="center"/>
        <w:tblLook w:firstColumn="1" w:firstRow="1" w:lastColumn="0" w:lastRow="0" w:noHBand="0" w:noVBand="1" w:val="04A0"/>
      </w:tblPr>
      <w:tblGrid>
        <w:gridCol w:w="3360"/>
        <w:gridCol w:w="3360"/>
        <w:gridCol w:w="336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Código</w:t>
            </w:r>
          </w:p>
        </w:tc>
        <w:tc>
          <w:tcPr>
            <w:tcW w:type="dxa" w:w="28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Pregunta de Investigación Formulada</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Eje de Evidencia / PICOC</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PI1</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arquitecturas y enfoques algorítmicos de IA/IDP (secuencias, grafos, transformers multimodales, VLM) se han implementado en documentos empresariales?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Enfoques algorítmicos (Intervención)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PI2</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niveles de rendimiento cuantitativo (F1-score, exactitud, reducción de latencia) reportan las soluciones de IA/IDP en extracción documental?</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Rendimiento cuantitativo (Outcome)</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PI3</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 qué medida el procesamiento con IA/IDP reduce tiempos de respuesta y costos operativos frente al ingreso manual y reglas?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Contraste vs tradicional (Comparación)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PI4</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 qué tipologías documentales (facturas, recibos, órdenes) y sistemas ERP/CRM se han validado empíricamente los modelos?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Aplicabilidad corporativa (Población)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PD1</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¿Cómo ha evolucionado el volumen de producción científica anual sobre IA/IDP entre 2020 y 2025?</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Evolución temporal (Contexto)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PD2</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autores, revistas indexadas y países concentran la mayor productividad e impacto académico?</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Productividad y canales científicos</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PD3</w:t>
            </w:r>
          </w:p>
        </w:tc>
        <w:tc>
          <w:tcPr>
            <w:tcW w:type="dxa" w:w="28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¿Qué diseños metodológicos y tipologías de datasets (públicos vs. privados) predominan en la literatura?</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Madurez empírica y reproducibilidad</w:t>
            </w:r>
          </w:p>
        </w:tc>
      </w:tr>
    </w:tbl>
    <w:p>
      <w:pPr>
        <w:keepNext/>
        <w:spacing w:before="160" w:after="40"/>
        <w:jc w:val="left"/>
      </w:pPr>
      <w:r>
        <w:rPr>
          <w:rFonts w:ascii="Times New Roman" w:hAnsi="Times New Roman"/>
          <w:b/>
          <w:i/>
          <w:sz w:val="19"/>
        </w:rPr>
        <w:t>D. Estrategia de Búsqueda, Ecuaciones Calibradas y Evolución de Iteraciones</w:t>
      </w:r>
    </w:p>
    <w:p>
      <w:pPr>
        <w:spacing w:line="240" w:lineRule="auto" w:before="0" w:after="80"/>
        <w:jc w:val="both"/>
      </w:pPr>
      <w:r>
        <w:rPr>
          <w:rFonts w:ascii="Times New Roman" w:hAnsi="Times New Roman"/>
          <w:i w:val="0"/>
          <w:sz w:val="19"/>
        </w:rPr>
        <w:t>La estrategia de búsqueda se estructuró mediante bloques booleanos simétricos. Para neutralizar por completo el riesgo de polisemia del acrónimo aislado 'ERP' (el cual en las pruebas preliminares colisionaba severamente con la literatura neurofisiológica y clínica sobre Event-Related Potentials en electroencefalogramas), se reemplazó formalmente dicha sigla por las frases compuestas 'enterprise resource planning' OR 'ERP system*', erradicando al 100% el ruido biomédico (ver Tabla III).</w:t>
      </w:r>
    </w:p>
    <w:p>
      <w:pPr>
        <w:keepNext/>
        <w:spacing w:before="140" w:after="20"/>
        <w:jc w:val="center"/>
      </w:pPr>
      <w:r>
        <w:rPr>
          <w:rFonts w:ascii="Times New Roman" w:hAnsi="Times New Roman"/>
          <w:b/>
          <w:sz w:val="16"/>
        </w:rPr>
        <w:t>TABLA III</w:t>
        <w:br/>
      </w:r>
      <w:r>
        <w:rPr>
          <w:rFonts w:ascii="Times New Roman" w:hAnsi="Times New Roman"/>
          <w:sz w:val="16"/>
        </w:rPr>
        <w:t>MATRIZ DE DESCRIPTORES Y ECUACIÓN BOOLEANA CALIBRADA</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Bloque</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Concepto Base</w:t>
            </w:r>
          </w:p>
        </w:tc>
        <w:tc>
          <w:tcPr>
            <w:tcW w:type="dxa" w:w="23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Descriptores y Sinónimos Técnicos en Inglés</w:t>
            </w:r>
          </w:p>
        </w:tc>
      </w:tr>
      <w:tr>
        <w:trPr>
          <w:cantSplit/>
        </w:trPr>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Población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Sistemas empresariales y documentos</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"business document*" OR "financial document*" OR "invoice*" OR "receipt*" OR "commercial document*" OR "purchase order*" OR "visually-rich document*" OR "enterprise resource planning" OR "ERP system*"</w:t>
            </w:r>
          </w:p>
        </w:tc>
      </w:tr>
      <w:tr>
        <w:trPr>
          <w:cantSplit/>
        </w:trPr>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Intervención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IA y procesamiento documental</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"intelligent document processing" OR "IDP" OR "document AI" OR "document understanding" OR "key information extraction" OR "KIE" OR "LayoutLM*" OR "optical character recognition" OR "OCR" OR "multimodal transformer*" OR "vision-language"</w:t>
            </w:r>
          </w:p>
        </w:tc>
      </w:tr>
      <w:tr>
        <w:trPr>
          <w:cantSplit/>
        </w:trPr>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Resultado</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Automatización, exactitud y eficiencia</w:t>
            </w:r>
          </w:p>
        </w:tc>
        <w:tc>
          <w:tcPr>
            <w:tcW w:type="dxa" w:w="23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"automat*" OR "extract*" OR "recognition" OR "accuracy" OR "F1" OR "performance" OR "efficiency" OR "throughput"</w:t>
            </w:r>
          </w:p>
        </w:tc>
      </w:tr>
    </w:tbl>
    <w:p>
      <w:pPr>
        <w:spacing w:line="240" w:lineRule="auto" w:before="0" w:after="80"/>
        <w:jc w:val="both"/>
      </w:pPr>
      <w:r>
        <w:rPr>
          <w:rFonts w:ascii="Times New Roman" w:hAnsi="Times New Roman"/>
          <w:b/>
          <w:sz w:val="19"/>
        </w:rPr>
        <w:t xml:space="preserve">Evolución y Calibración Metodológica de Ecuaciones (Iteración 1 vs. Iteración 2): </w:t>
      </w:r>
      <w:r>
        <w:rPr>
          <w:rFonts w:ascii="Times New Roman" w:hAnsi="Times New Roman"/>
          <w:i w:val="0"/>
          <w:sz w:val="19"/>
        </w:rPr>
        <w:t>En la fase exploratoria preliminar se ejecutó una búsqueda piloto (Iteración 1) con descriptores rígidos de ERP y OCR clásico ('ERP' aislado AND 'OCR' AND 'document processing'), arrojando 140 registros en Scopus y 123 en WoS. Dicha iteración fue formalmente descartada por dos deficiencias metodológicas críticas: (a) un 28.5% de contaminación semántica derivada del acrónimo 'ERP' (estudios médicos de potenciales evocados en EEG) y (b) la omisión inadvertida de la literatura moderna de KIE, arquitecturas multimodales (LayoutLM, DocFormer) y comprensión de documentos visualmente ricos (VRD). Para subsanar esto, se diseñó la Iteración 2 (calibrada definitiva, archivada en scopus_export_it2.csv y wos_export_it2.xls), la cual expandió los términos a expresiones compuestas ('enterprise resource planning' OR 'ERP system*'), incorporó operadores booleanos para modelos de visión-lenguaje y limitó la tipología documental estrictamente a artículos de revista arbitrados (Document Type = Article). Esta calibración recuperó 3,270 registros brutos en Scopus y 431 en WoS (3,701 brutos), que tras filtros nativos se redujeron a 311 y 266 registros respectivamente (total n = 577), garantizando 0% de ruido médico y máxima exhaustividad temática.</w:t>
      </w:r>
    </w:p>
    <w:p>
      <w:pPr>
        <w:spacing w:line="240" w:lineRule="auto" w:before="0" w:after="80"/>
        <w:jc w:val="both"/>
      </w:pPr>
      <w:r>
        <w:rPr>
          <w:rFonts w:ascii="Times New Roman" w:hAnsi="Times New Roman"/>
          <w:b/>
          <w:sz w:val="19"/>
        </w:rPr>
        <w:t xml:space="preserve">Nota Aclaratoria sobre Publicaciones Anticipadas (Early Access 2025/2026): </w:t>
      </w:r>
      <w:r>
        <w:rPr>
          <w:rFonts w:ascii="Times New Roman" w:hAnsi="Times New Roman"/>
          <w:i w:val="0"/>
          <w:sz w:val="19"/>
        </w:rPr>
        <w:t>Dentro del corpus final se identifican tres artículos ([3] Wei et al., [65] Giovannini et al., y [66] Raja et al.) cuya fecha de asignación formal a volumen o fascículo de revista impresa figura con año 2026. Se aclara que dichos registros fueron publicados oficialmente en línea en modalidad Early Access / Advance Online Publication entre agosto y diciembre de 2025. Por este motivo, tanto Scopus como Web of Science Core Collection los indexan legítimamente dentro del rango temporal de búsqueda 2020–2025, cumpliendo de manera estricta con el criterio de inclusión IN1 y las directrices PRISMA-S.</w:t>
      </w:r>
    </w:p>
    <w:p>
      <w:pPr>
        <w:keepNext/>
        <w:spacing w:before="160" w:after="40"/>
        <w:jc w:val="left"/>
      </w:pPr>
      <w:r>
        <w:rPr>
          <w:rFonts w:ascii="Times New Roman" w:hAnsi="Times New Roman"/>
          <w:b/>
          <w:i/>
          <w:sz w:val="19"/>
        </w:rPr>
        <w:t>E. Registro Maestro de Consultas y Exportaciones</w:t>
      </w:r>
    </w:p>
    <w:p>
      <w:pPr>
        <w:spacing w:line="240" w:lineRule="auto" w:before="0" w:after="80"/>
        <w:jc w:val="both"/>
      </w:pPr>
      <w:r>
        <w:rPr>
          <w:rFonts w:ascii="Times New Roman" w:hAnsi="Times New Roman"/>
          <w:i w:val="0"/>
          <w:sz w:val="19"/>
        </w:rPr>
        <w:t>Las ecuaciones calibradas se ejecutaron en Scopus y Web of Science Core Collection bajo fecha calendario auditable. Los filtros de plataforma restringieron los resultados al tipo de documento Article (100% artículos de revista científica revisados por pares), período 2020–2025 e idiomas inglés y español (ver Tabla IV):</w:t>
      </w:r>
    </w:p>
    <w:p>
      <w:pPr>
        <w:keepNext/>
        <w:spacing w:before="140" w:after="20"/>
        <w:jc w:val="center"/>
      </w:pPr>
      <w:r>
        <w:rPr>
          <w:rFonts w:ascii="Times New Roman" w:hAnsi="Times New Roman"/>
          <w:b/>
          <w:sz w:val="16"/>
        </w:rPr>
        <w:t>TABLA IV</w:t>
        <w:br/>
      </w:r>
      <w:r>
        <w:rPr>
          <w:rFonts w:ascii="Times New Roman" w:hAnsi="Times New Roman"/>
          <w:sz w:val="16"/>
        </w:rPr>
        <w:t>REGISTRO MAESTRO DE BÚSQUEDA Y EXPORTACIÓN POR BASE INDEXADA</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Base de Datos</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Campo</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Sin filtros</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Con filtros</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Tipo Doc.</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Archivo Exportado</w:t>
            </w:r>
          </w:p>
        </w:tc>
      </w:tr>
      <w:tr>
        <w:trPr>
          <w:cantSplit/>
        </w:trPr>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Scopus (Elsevier)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TITLE-ABS-KEY</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3,270</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311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scopus_export_it2.csv</w:t>
            </w:r>
          </w:p>
        </w:tc>
      </w:tr>
      <w:tr>
        <w:trPr>
          <w:cantSplit/>
        </w:trPr>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Web of Science Core Collection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TS (Topic)</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431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266</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wos_export_it2.xls</w:t>
            </w:r>
          </w:p>
        </w:tc>
      </w:tr>
      <w:tr>
        <w:trPr>
          <w:cantSplit/>
        </w:trPr>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Consolidado</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Simétrico</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3,701</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577</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Archivos maestros en inputs/</w:t>
            </w:r>
          </w:p>
        </w:tc>
      </w:tr>
    </w:tbl>
    <w:p>
      <w:pPr>
        <w:keepNext/>
        <w:spacing w:before="160" w:after="40"/>
        <w:jc w:val="left"/>
      </w:pPr>
      <w:r>
        <w:rPr>
          <w:rFonts w:ascii="Times New Roman" w:hAnsi="Times New Roman"/>
          <w:b/>
          <w:i/>
          <w:sz w:val="19"/>
        </w:rPr>
        <w:t>F. Criterios de Elegibilidad Codificados</w:t>
      </w:r>
    </w:p>
    <w:p>
      <w:pPr>
        <w:spacing w:line="240" w:lineRule="auto" w:before="0" w:after="80"/>
        <w:jc w:val="both"/>
      </w:pPr>
      <w:r>
        <w:rPr>
          <w:rFonts w:ascii="Times New Roman" w:hAnsi="Times New Roman"/>
          <w:i w:val="0"/>
          <w:sz w:val="19"/>
        </w:rPr>
        <w:t>Se establecieron criterios de inclusión y exclusión codificados para gobernar las decisiones del flujo de selección (ver Tabla V):</w:t>
      </w:r>
    </w:p>
    <w:p>
      <w:pPr>
        <w:keepNext/>
        <w:spacing w:before="140" w:after="20"/>
        <w:jc w:val="center"/>
      </w:pPr>
      <w:r>
        <w:rPr>
          <w:rFonts w:ascii="Times New Roman" w:hAnsi="Times New Roman"/>
          <w:b/>
          <w:sz w:val="16"/>
        </w:rPr>
        <w:t>TABLA V</w:t>
        <w:br/>
      </w:r>
      <w:r>
        <w:rPr>
          <w:rFonts w:ascii="Times New Roman" w:hAnsi="Times New Roman"/>
          <w:sz w:val="16"/>
        </w:rPr>
        <w:t>CRITERIOS DE INCLUSIÓN Y EXCLUSIÓN CODIFICADOS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Tipo</w:t>
            </w:r>
          </w:p>
        </w:tc>
        <w:tc>
          <w:tcPr>
            <w:tcW w:type="dxa" w:w="23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Criterio Metodológico de Elegibilidad</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Mecanismo de Verificación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Ventana temporal de publicación comprendida entre 2020 y 2025.</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Filtros nativos en Scopus y Web of Science.</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Artículos de revista científica revisados por pares (journal articles).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 Document Type = Article (0% congresos).</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IN3</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Indexación en las bases principales Scopus o Web of Science Core Collection.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Bases suscritas por la institución académica.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IN4</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Modelos de IA/IDP aplicados a documentos empresariales y semiestructurados.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Cribado temático de abstract y texto completo.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Publicaciones redactadas en idiomas distintos al inglés o español.</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Filtros lingüísticos nativos de plataforma.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Estudios no accesibles a texto completo a través de suscripciones institucionales.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Verificación en fase de elegibilidad (n = 5).</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EX3</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Revisiones secundarias (surveys, mappings) sin experimentación primaria propia.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 en fase de elegibilidad (n = 8).</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EX4</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Ámbitos ajenos: historias clínicas, manuscritos antiguos, semiconductores.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Cribado de título/resumen (n = 35).</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EX-n</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Estudios sin métricas empíricas formales o de OCR genérico sin enfoque corporativo.</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Cribado (n = 6) y elegibilidad (n = 153).</w:t>
            </w:r>
          </w:p>
        </w:tc>
      </w:tr>
    </w:tbl>
    <w:p>
      <w:pPr>
        <w:keepNext/>
        <w:spacing w:before="160" w:after="40"/>
        <w:jc w:val="left"/>
      </w:pPr>
      <w:r>
        <w:rPr>
          <w:rFonts w:ascii="Times New Roman" w:hAnsi="Times New Roman"/>
          <w:b/>
          <w:i/>
          <w:sz w:val="19"/>
        </w:rPr>
        <w:t>G. Flujo PRISMA 2020 y Transición Cuantitativa</w:t>
      </w:r>
    </w:p>
    <w:p>
      <w:pPr>
        <w:spacing w:line="240" w:lineRule="auto" w:before="0" w:after="80"/>
        <w:jc w:val="both"/>
      </w:pPr>
      <w:r>
        <w:rPr>
          <w:rFonts w:ascii="Times New Roman" w:hAnsi="Times New Roman"/>
          <w:i w:val="0"/>
          <w:sz w:val="19"/>
        </w:rPr>
        <w:t>El flujo metodológico de selección se ejecutó de forma determinista y reproducible a través de cuatro fases concatenadas sin cortes artificiales de muestra (ver Tabla VI y Fig. 1):</w:t>
      </w:r>
    </w:p>
    <w:p>
      <w:pPr>
        <w:spacing w:line="240" w:lineRule="auto" w:before="0" w:after="80"/>
        <w:jc w:val="both"/>
      </w:pPr>
      <w:r>
        <w:rPr>
          <w:rFonts w:ascii="Times New Roman" w:hAnsi="Times New Roman"/>
          <w:b/>
          <w:sz w:val="19"/>
        </w:rPr>
        <w:t xml:space="preserve">Protocolo en Doble Ciego y Resolución de Discrepancias: </w:t>
      </w:r>
      <w:r>
        <w:rPr>
          <w:rFonts w:ascii="Times New Roman" w:hAnsi="Times New Roman"/>
          <w:i w:val="0"/>
          <w:sz w:val="19"/>
        </w:rPr>
        <w:t>La evaluación de registros se ejecutó mediante un protocolo independiente en doble ciego entre los dos investigadores principales (R1 y R2). En la fase de cribado por título y resumen se obtuvo un coeficiente de concordancia sustancial casi perfecto (κ = 0.88). En la fase de elegibilidad a texto completo se alcanzó una concordancia de κ = 0.92. Las discrepancias iniciales entre revisores (registradas en menos del 6% de los estudios evaluados) se resolvieron mediante sesiones estructuradas de consenso razonado basadas en la verificación directa de los criterios de inclusión/exclusión; en los casos que suscitaron duda metodológica residual, se aplicó la dirimencia vinculante del docente asesor experto (Mg. Jimmy Sánchez Portugal), garantizando total objetividad y reproducibilidad.</w:t>
      </w:r>
    </w:p>
    <w:p>
      <w:pPr>
        <w:spacing w:line="240" w:lineRule="auto" w:before="0" w:after="80"/>
        <w:jc w:val="both"/>
      </w:pPr>
      <w:r>
        <w:rPr>
          <w:rFonts w:ascii="Times New Roman" w:hAnsi="Times New Roman"/>
          <w:i w:val="0"/>
          <w:sz w:val="19"/>
        </w:rPr>
        <w:t>1) Fase 1 (Identificación): Se recuperaron 577 artículos de revista (311 en Scopus y 266 en WoS). El algoritmo de deduplicación por DOI estandarizado y título normalizado eliminó 239 duplicados (238 inter-base y 1 intra-WoS), ingresando 338 registros únicos a cribado.</w:t>
      </w:r>
    </w:p>
    <w:p>
      <w:pPr>
        <w:spacing w:line="240" w:lineRule="auto" w:before="0" w:after="80"/>
        <w:jc w:val="both"/>
      </w:pPr>
      <w:r>
        <w:rPr>
          <w:rFonts w:ascii="Times New Roman" w:hAnsi="Times New Roman"/>
          <w:i w:val="0"/>
          <w:sz w:val="19"/>
        </w:rPr>
        <w:t>2) Fase 2 (Cribado): En doble ciego independiente (κ = 0.88), se excluyeron 41 registros por ruido temático (35 por ámbito clínico/histórico EX4 y 6 sin reporte de métricas empíricas EX-n), pasando 297 estudios a evaluación a texto completo.</w:t>
      </w:r>
    </w:p>
    <w:p>
      <w:pPr>
        <w:spacing w:line="240" w:lineRule="auto" w:before="0" w:after="80"/>
        <w:jc w:val="both"/>
      </w:pPr>
      <w:r>
        <w:rPr>
          <w:rFonts w:ascii="Times New Roman" w:hAnsi="Times New Roman"/>
          <w:i w:val="0"/>
          <w:sz w:val="19"/>
        </w:rPr>
        <w:t>3) Fase 3 (Elegibilidad): Se examinaron los 297 textos completos bajo control de calidad QA (Kitchenham), con acuerdo inter-evaluador κ = 0.92. Se excluyeron 166 registros: 20 documentados individualmente bajo el ítem 7 de AMSTAR 2 (ver Tabla VIII) y 146 de OCR genérico no empresarial.</w:t>
      </w:r>
    </w:p>
    <w:p>
      <w:pPr>
        <w:spacing w:line="240" w:lineRule="auto" w:before="0" w:after="80"/>
        <w:jc w:val="both"/>
      </w:pPr>
      <w:r>
        <w:rPr>
          <w:rFonts w:ascii="Times New Roman" w:hAnsi="Times New Roman"/>
          <w:i w:val="0"/>
          <w:sz w:val="19"/>
        </w:rPr>
        <w:t>4) Fase 4 (Inclusión): El corpus primario final comprende N = 131 estudios de revista científica (100% Journal Articles), distribuidos orgánicamente en 4 estudios nucleares paradigmáticos (4/4), 59 estudios de soporte avanzado (4/4), 49 estudios de soporte temático (3/4), 17 de soporte algorítmico (2/4) y 2 de contextualización (1/4).</w:t>
      </w:r>
    </w:p>
    <w:p>
      <w:pPr>
        <w:keepNext/>
        <w:spacing w:before="140" w:after="20"/>
        <w:jc w:val="center"/>
      </w:pPr>
      <w:r>
        <w:rPr>
          <w:rFonts w:ascii="Times New Roman" w:hAnsi="Times New Roman"/>
          <w:b/>
          <w:sz w:val="16"/>
        </w:rPr>
        <w:t>TABLA VI</w:t>
        <w:br/>
      </w:r>
      <w:r>
        <w:rPr>
          <w:rFonts w:ascii="Times New Roman" w:hAnsi="Times New Roman"/>
          <w:sz w:val="16"/>
        </w:rPr>
        <w:t>TRANSICIÓN CUANTITATIVA DEL FLUJO PRISMA 2020</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Fase PRISMA</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Entrada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Operación Metodológica</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Excluidos</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Salida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 Identificación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577 brutos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Cruce determinista por DOI y título normalizado</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-239 dupl.</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338 únicos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Cribado</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338 únicos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Evaluación de título/resumen en doble ciego (κ = 0.88)</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-41 temáticos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297 elegibles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 Elegibilidad</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297 texto compl.</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Lectura de texto completo y control QA (κ = 0.92)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-166 estudios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131 incluidos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Inclusión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131 primarios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Mapeo semántico frente a PI1–PI4 y extracción</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N = 131 final</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Corpus Total</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577 brutos</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Embudo metodológico auditable y reproducible</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-446 excluidos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N = 131 final</w:t>
            </w:r>
          </w:p>
        </w:tc>
      </w:tr>
    </w:tbl>
    <w:p>
      <w:pPr>
        <w:keepNext/>
        <w:spacing w:before="120" w:after="40"/>
        <w:jc w:val="center"/>
      </w:pPr>
      <w:r>
        <w:drawing>
          <wp:inline xmlns:a="http://schemas.openxmlformats.org/drawingml/2006/main" xmlns:pic="http://schemas.openxmlformats.org/drawingml/2006/picture">
            <wp:extent cx="3017520" cy="3976774"/>
            <wp:docPr id="1" name="Picture 1"/>
            <wp:cNvGraphicFramePr>
              <a:graphicFrameLocks noChangeAspect="1"/>
            </wp:cNvGraphicFramePr>
            <a:graphic>
              <a:graphicData uri="http://schemas.openxmlformats.org/drawingml/2006/picture">
                <pic:pic>
                  <pic:nvPicPr>
                    <pic:cNvPr id="0" name="diagrama_flujo_prisma_2020.png"/>
                    <pic:cNvPicPr/>
                  </pic:nvPicPr>
                  <pic:blipFill>
                    <a:blip r:embed="rId9"/>
                    <a:stretch>
                      <a:fillRect/>
                    </a:stretch>
                  </pic:blipFill>
                  <pic:spPr>
                    <a:xfrm>
                      <a:off x="0" y="0"/>
                      <a:ext cx="3017520" cy="3976774"/>
                    </a:xfrm>
                    <a:prstGeom prst="rect"/>
                  </pic:spPr>
                </pic:pic>
              </a:graphicData>
            </a:graphic>
          </wp:inline>
        </w:drawing>
      </w:r>
    </w:p>
    <w:p>
      <w:pPr>
        <w:spacing w:before="40" w:after="120"/>
        <w:jc w:val="both"/>
      </w:pPr>
      <w:r>
        <w:rPr>
          <w:b/>
          <w:sz w:val="16"/>
        </w:rPr>
        <w:t xml:space="preserve">Fig. 1. </w:t>
      </w:r>
      <w:r>
        <w:rPr>
          <w:sz w:val="16"/>
        </w:rPr>
        <w:t>Diagrama de flujo PRISMA 2020 de identificación, cribado, elegibilidad a texto completo (con evaluación en doble ciego, concordancia inter-evaluador κ = 0.92) e inclusión estratificada de estudios primarios (N = 131).</w:t>
      </w:r>
    </w:p>
    <w:p>
      <w:pPr>
        <w:keepNext/>
        <w:spacing w:before="160" w:after="40"/>
        <w:jc w:val="left"/>
      </w:pPr>
      <w:r>
        <w:rPr>
          <w:rFonts w:ascii="Times New Roman" w:hAnsi="Times New Roman"/>
          <w:b/>
          <w:i/>
          <w:sz w:val="19"/>
        </w:rPr>
        <w:t>H. Evaluación de Calidad Metodológica (QA)</w:t>
      </w:r>
    </w:p>
    <w:p>
      <w:pPr>
        <w:spacing w:line="240" w:lineRule="auto" w:before="0" w:after="80"/>
        <w:jc w:val="both"/>
      </w:pPr>
      <w:r>
        <w:rPr>
          <w:rFonts w:ascii="Times New Roman" w:hAnsi="Times New Roman"/>
          <w:i w:val="0"/>
          <w:sz w:val="19"/>
        </w:rPr>
        <w:t>Siguiendo las pautas de Kitchenham &amp; Charters (2007), se formuló un instrumento de calidad metodológica compuesto por cinco preguntas críticas (QA1 a QA5), evaluadas bajo una escala tricotómica objetiva (1.0 = Sí, 0.5 = Parcial, 0.0 = No) con un umbral mínimo de inclusión de QA &gt;= 3.0 / 5.0 (ver Tabla VII). El corpus final primario obtuvo una media de calidad sobresaliente de 4.61 / 5.0 (mínimo = 3.50, máximo = 5.0), con los cuatro estudios nucleares calificados con puntaje perfecto de 5.0 / 5.0.</w:t>
      </w:r>
    </w:p>
    <w:p>
      <w:pPr>
        <w:keepNext/>
        <w:spacing w:before="140" w:after="20"/>
        <w:jc w:val="center"/>
      </w:pPr>
      <w:r>
        <w:rPr>
          <w:rFonts w:ascii="Times New Roman" w:hAnsi="Times New Roman"/>
          <w:b/>
          <w:sz w:val="16"/>
        </w:rPr>
        <w:t>TABLA VII</w:t>
        <w:br/>
      </w:r>
      <w:r>
        <w:rPr>
          <w:rFonts w:ascii="Times New Roman" w:hAnsi="Times New Roman"/>
          <w:sz w:val="16"/>
        </w:rPr>
        <w:t>PREGUNTAS DEL INSTRUMENTO DE CALIDAD METODOLÓGICA (QA)</w:t>
      </w:r>
    </w:p>
    <w:tbl>
      <w:tblPr>
        <w:tblW w:type="auto" w:w="0"/>
        <w:jc w:val="center"/>
        <w:tblLook w:firstColumn="1" w:firstRow="1" w:lastColumn="0" w:lastRow="0" w:noHBand="0" w:noVBand="1" w:val="04A0"/>
      </w:tblPr>
      <w:tblGrid>
        <w:gridCol w:w="3360"/>
        <w:gridCol w:w="3360"/>
        <w:gridCol w:w="336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Pregunta de Control de Calidad Metodológica</w:t>
            </w:r>
          </w:p>
        </w:tc>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Criterio de Calificación Tricotómica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 estudio define explícitamente los objetivos, el problema documental y la tipología de documentos de negocio?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Objetivos y tipología explícitos; 0.5: Genéricos; 0.0: No definidos.</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describe detalladamente el dataset (volumen, partición train/test, idioma y condiciones de escaneo)?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Dataset y partición explícitos; 0.5: Parcial; 0.0: No describe dataset.</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QA3</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documenta con suficiente claridad la arquitectura neuronal de IA o el pipeline de IDP implementado?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Arquitectura completa y reproducible; 0.5: Superficial; 0.0: Enfoque caja negra.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QA4</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reportan métricas cuantitativas formales de rendimiento (F1-score, exactitud, latencia, throughput)?</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Métricas formales reportadas; 0.5: Métricas parciales; 0.0: Solo cualitativo.</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QA5</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¿Los resultados se contrastan empíricamente frente a baselines, reglas tradicionales o el estado del arte?</w:t>
            </w:r>
          </w:p>
        </w:tc>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1.0: Contraste cuantitativo riguroso; 0.5: Narrativo; 0.0: Sin contraste.</w:t>
            </w:r>
          </w:p>
        </w:tc>
      </w:tr>
    </w:tbl>
    <w:p>
      <w:pPr>
        <w:keepNext/>
        <w:spacing w:before="160" w:after="40"/>
        <w:jc w:val="left"/>
      </w:pPr>
      <w:r>
        <w:rPr>
          <w:rFonts w:ascii="Times New Roman" w:hAnsi="Times New Roman"/>
          <w:b/>
          <w:i/>
          <w:sz w:val="19"/>
        </w:rPr>
        <w:t>I. Matriz AMSTAR 2 de Estudios Excluidos a Texto Completo</w:t>
      </w:r>
    </w:p>
    <w:p>
      <w:pPr>
        <w:spacing w:line="240" w:lineRule="auto" w:before="0" w:after="80"/>
        <w:jc w:val="both"/>
      </w:pPr>
      <w:r>
        <w:rPr>
          <w:rFonts w:ascii="Times New Roman" w:hAnsi="Times New Roman"/>
          <w:i w:val="0"/>
          <w:sz w:val="19"/>
        </w:rPr>
        <w:t>En estricto cumplimiento del ítem 7 de AMSTAR 2 y del ítem 16b de PRISMA 2020, la Tabla VIII lista individualmente los 20 estudios excluidos durante la lectura a texto completo que a priori cumplían con los criterios de búsqueda pero no satisficieron los requerimientos de elegibilidad primaria, consignando sus autores completos, base de origen, código y justificación técnica sin truncamientos:</w:t>
      </w:r>
    </w:p>
    <w:p>
      <w:pPr>
        <w:keepNext/>
        <w:spacing w:before="140" w:after="20"/>
        <w:jc w:val="center"/>
      </w:pPr>
      <w:r>
        <w:rPr>
          <w:rFonts w:ascii="Times New Roman" w:hAnsi="Times New Roman"/>
          <w:b/>
          <w:sz w:val="16"/>
        </w:rPr>
        <w:t>TABLA VIII</w:t>
        <w:br/>
      </w:r>
      <w:r>
        <w:rPr>
          <w:rFonts w:ascii="Times New Roman" w:hAnsi="Times New Roman"/>
          <w:sz w:val="16"/>
        </w:rPr>
        <w:t>LISTADO DE ESTUDIOS EXCLUIDOS A TEXTO COMPLETO (AMSTAR 2 ÍTEM 7)</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Referencia Bibliográfica Completa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Base</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Cód.</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Causal Específica de Exclusión</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Villa-García P.A.; Alonso-Calvo R.; García-Díaz V.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Nguyen T.T.; Le H.; Nguyen T.; Vo N.D.; Nguyen V.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Saout T.; Lardeux F.; Saubion F.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Michalak H.; Okarma K.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Zucker A.; Belkada Y.; Vu H.; Nguyen V.N.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Rewoo P.; Jaiswal A.K.; Mahajan D.; Naidu K.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Holeček M.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Vykhodtseva V.A.; Popova G.V.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Varthis E.; Poulos M. (2025)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Francis S.A.; Sangeetha M. (2025)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Li X.-H.; Yin F.; Dai H.-S.; Liu C.-L. (2022)</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Yang F.; Hu L.; Liu X.; Huang S.; Gu Z.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Di Marzo Serugendo G.; Cappelli M.A.; Fabre G.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Srivastava D.; Harit G.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Han S.; Ji S.; Rhee J.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Satirapiwong K.; Siriborvornratanakul T.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Anbukkarasi S.; Varadhaganapathy S.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Shin Y.; Cho Y.; Kang H.W.; Kang J.-G.; Lee C.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Li Z.; Tian W.; Li C.; Li Y.; Shi H.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Courtney J. (2021)</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bl>
    <w:p>
      <w:pPr>
        <w:keepNext/>
        <w:spacing w:before="160" w:after="40"/>
        <w:jc w:val="left"/>
      </w:pPr>
      <w:r>
        <w:rPr>
          <w:rFonts w:ascii="Times New Roman" w:hAnsi="Times New Roman"/>
          <w:b/>
          <w:i/>
          <w:sz w:val="19"/>
        </w:rPr>
        <w:t>J. Caracterización de los 4 Estudios Nucleares Insignia (100% Revista)</w:t>
      </w:r>
    </w:p>
    <w:p>
      <w:pPr>
        <w:spacing w:line="240" w:lineRule="auto" w:before="0" w:after="80"/>
        <w:jc w:val="both"/>
      </w:pPr>
      <w:r>
        <w:rPr>
          <w:rFonts w:ascii="Times New Roman" w:hAnsi="Times New Roman"/>
          <w:i w:val="0"/>
          <w:sz w:val="19"/>
        </w:rPr>
        <w:t>A partir de la evaluación de calidad metodológica (QA = 5.0 / 5.0) y la cobertura integral de las cuatro preguntas temáticas (PI1 a PI4), se seleccionaron cuatro estudios nucleares paradigmáticos de alto impacto (Q1/Q2), todos artículos de revista científica con DOI verificable, que constituyen el ancla empírica de la revisión (ver Tabla IX):</w:t>
      </w:r>
    </w:p>
    <w:p>
      <w:pPr>
        <w:keepNext/>
        <w:spacing w:before="140" w:after="20"/>
        <w:jc w:val="center"/>
      </w:pPr>
      <w:r>
        <w:rPr>
          <w:rFonts w:ascii="Times New Roman" w:hAnsi="Times New Roman"/>
          <w:b/>
          <w:sz w:val="16"/>
        </w:rPr>
        <w:t>TABLA IX</w:t>
        <w:br/>
      </w:r>
      <w:r>
        <w:rPr>
          <w:rFonts w:ascii="Times New Roman" w:hAnsi="Times New Roman"/>
          <w:sz w:val="16"/>
        </w:rPr>
        <w:t>CARACTERIZACIÓN DE LOS 4 ESTUDIOS NUCLEARES INSIGNIA (100% REVISTA)</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ID</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Ref.</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Autores y Año</w:t>
            </w:r>
          </w:p>
        </w:tc>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Revista Indexada y Cuartil</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DOI</w:t>
            </w:r>
          </w:p>
        </w:tc>
        <w:tc>
          <w:tcPr>
            <w:tcW w:type="dxa" w:w="10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Aporte Metodológico Fundamental</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[S001]</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[3]</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Wei et al. (2026/2025)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Pattern Recognition (Elsevier, Q1)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10.1016/j.patcog.2025.112348</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VLM multimodal para QA visual sobre gráficos y tablas complejas, superando baselines de OCR tradicional.</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[S002]</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[4]</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Chen et al. (2025)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Electronics (MDPI, Q2)</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10.3390/electronics14112145</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Evaluación rigurosa de LLMs e ingeniería de prompts en extracción de información documental frente a reglas fijas.</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[S003]</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[5]</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Ali Khandokar &amp; Deshpande (2025)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IEEE Access (IEEE, Q1)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10.1109/access.2024.3522141</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Pipeline de visión computacional y deep learning para extracción de tablas financieras heterogéneas sin plantillas.</w:t>
            </w:r>
          </w:p>
        </w:tc>
      </w:tr>
      <w:tr>
        <w:trPr>
          <w:cantSplit/>
        </w:trPr>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[S004]</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[6]</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Mifsud et al. (2025)</w:t>
            </w:r>
          </w:p>
        </w:tc>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Mach. Learn. Knowl. Extr. (MDPI, Q2)</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10.3390/make7040167</w:t>
            </w:r>
          </w:p>
        </w:tc>
        <w:tc>
          <w:tcPr>
            <w:tcW w:type="dxa" w:w="10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Modelo híbrido que combina y contrasta Transformers multimodales con sistemas basados en reglas en recibos comerciales.</w:t>
            </w:r>
          </w:p>
        </w:tc>
      </w:tr>
    </w:tbl>
    <w:p>
      <w:pPr>
        <w:keepNext/>
        <w:spacing w:before="160" w:after="40"/>
        <w:jc w:val="left"/>
      </w:pPr>
      <w:r>
        <w:rPr>
          <w:rFonts w:ascii="Times New Roman" w:hAnsi="Times New Roman"/>
          <w:b/>
          <w:i/>
          <w:sz w:val="19"/>
        </w:rPr>
        <w:t>K. Muestra de la Matriz de Mapeo frente a PI1–PI4</w:t>
      </w:r>
    </w:p>
    <w:p>
      <w:pPr>
        <w:spacing w:line="240" w:lineRule="auto" w:before="0" w:after="80"/>
        <w:jc w:val="both"/>
      </w:pPr>
      <w:r>
        <w:rPr>
          <w:rFonts w:ascii="Times New Roman" w:hAnsi="Times New Roman"/>
          <w:i w:val="0"/>
          <w:sz w:val="19"/>
        </w:rPr>
        <w:t>El corpus de N = 131 estudios primarios se clasificó mediante una evaluación semántica directa sobre sus variables empíricas: Nucleares (n = 4), Soporte Temático Avanzado (n = 108), Soporte Algorítmico y de Rendimiento (n = 17) y Contextualización (n = 2). La relación biunívoca matemática entre el identificador del corpus [Sxxx] y la cita IEEE [n] está regida estrictamente por Ref IEEE [n] = ID S + 2 (dado que las citas [1] y [2] corresponden a las normas metodológicas marco Kitchenham &amp; Charters y PRISMA 2020). La Tabla X presenta una muestra representativa de 11 estudios a lo largo de los estratos evidenciando esta correspondencia perfecta:</w:t>
      </w:r>
    </w:p>
    <w:p>
      <w:pPr>
        <w:keepNext/>
        <w:spacing w:before="140" w:after="20"/>
        <w:jc w:val="center"/>
      </w:pPr>
      <w:r>
        <w:rPr>
          <w:rFonts w:ascii="Times New Roman" w:hAnsi="Times New Roman"/>
          <w:b/>
          <w:sz w:val="16"/>
        </w:rPr>
        <w:t>TABLA X</w:t>
        <w:br/>
      </w:r>
      <w:r>
        <w:rPr>
          <w:rFonts w:ascii="Times New Roman" w:hAnsi="Times New Roman"/>
          <w:sz w:val="16"/>
        </w:rPr>
        <w:t>MUESTRA REPRESENTATIVA DE LA MATRIZ DE MAPEO FRENTE A PI1–PI4</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ID</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Ref.</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Autores (Año)</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PI1</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PI2</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PI3</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PI4</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Total</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Estrato de Evidencia</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[S001]</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Wei, JX et al. (2026)</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[S002]</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Chen L.-C.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[S003]</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[5]</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Ali Khandokar I.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[S004]</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[6]</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Mifsud X.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Yu J.-M.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[S015]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[17]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Abdalla 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[S030]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Jia 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[S050]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[52]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Lee E. et al. (2022)</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[S075]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[77]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Arshad A.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(3/4)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[S100]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[102]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Yeung O.M. et al. (2023)</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(3/4)</w:t>
            </w:r>
          </w:p>
        </w:tc>
      </w:tr>
      <w:tr>
        <w:trPr>
          <w:cantSplit/>
        </w:trPr>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[S125]</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[127]</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Azman N.A. et al. (2021)</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2/4</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Soporte (2/4)</w:t>
            </w:r>
          </w:p>
        </w:tc>
      </w:tr>
    </w:tbl>
    <w:p>
      <w:pPr>
        <w:keepNext/>
        <w:spacing w:before="160" w:after="40"/>
        <w:jc w:val="left"/>
      </w:pPr>
      <w:r>
        <w:rPr>
          <w:rFonts w:ascii="Times New Roman" w:hAnsi="Times New Roman"/>
          <w:b/>
          <w:i/>
          <w:sz w:val="19"/>
        </w:rPr>
        <w:t>L. Vinculación con Resultados y Estrategia de Síntesis</w:t>
      </w:r>
    </w:p>
    <w:p>
      <w:pPr>
        <w:spacing w:line="240" w:lineRule="auto" w:before="0" w:after="80"/>
        <w:jc w:val="both"/>
      </w:pPr>
      <w:r>
        <w:rPr>
          <w:rFonts w:ascii="Times New Roman" w:hAnsi="Times New Roman"/>
          <w:b/>
          <w:sz w:val="19"/>
        </w:rPr>
        <w:t xml:space="preserve">Estrategia de Síntesis y Justificación de la Inviabilidad de Metaanálisis Cuantitativo: </w:t>
      </w:r>
      <w:r>
        <w:rPr>
          <w:rFonts w:ascii="Times New Roman" w:hAnsi="Times New Roman"/>
          <w:i w:val="0"/>
          <w:sz w:val="19"/>
        </w:rPr>
        <w:t>Siguiendo las directrices metodológicas de Kitchenham &amp; Charters (2007) [1] y PRISMA 2020 [2], los hallazgos de los 131 estudios primarios [3]–[133] se estructuran y consolidan mediante métodos rigurosos y formalizados según la naturaleza de cada interrogante: Síntesis Temática (Thomas &amp; Harden [134]; Cruzes &amp; Dybå [135]) para la taxonomía algorítmica y tipologías documentales (PI1, PI4); Síntesis Narrativa Estructurada (Popay et al. [136]) con reporte de rangos empíricos [mín, máx] y dispersión por benchmark para el rendimiento técnico (PI2); Síntesis sin metaanálisis (SWiM, Campbell et al. [137]) con conteo de votos de dirección del efecto y barras divergentes para la comparativa de eficiencia frente a métodos tradicionales (PI3); Mapeo Sistemático con gráficos de burbujas (Petersen et al. [138]) para el cruce de diseños y datasets (PD3); análisis cienciométrico con mapas de coocurrencia de palabras clave en VOSviewer (van Eck &amp; Waltman [139]) para redes de investigación (PD2); y calificación formal de la certeza de la evidencia mediante el marco GRADE-CERQual (Lewin et al. [140]). Se descarta formalmente la ejecución de un metaanálisis estadístico de efectos fijos o aleatorios debido a la profunda heterogeneidad técnica, métrica y contextual del dominio de Information Extraction en documentos empresariales: (a) heterogeneidad métrica: los estudios evalúan el rendimiento a niveles de granularidad conceptualmente incompatibles (exactitud de OCR a nivel de carácter/token mediante CER/WER frente a KIE a nivel de entidad semántica completa mediante F1-score estricto vs. relajado y ANLS en preguntas y respuestas visuales); (b) heterogeneidad de entornos de ejecución: las latencias y velocidades de inferencia reportadas (ms/página) dependen de infraestructuras de hardware dispares (desde clústeres NVIDIA A100/H100 hasta servidores locales sin GPU acelerada), imposibilitando un pool homogéneo de tiempos; y (c) disparidad de corpus de validación: mientras una fracción de autores evalúa sobre benchmarks públicos (SROIE, CORD, FUNSD), una porción sustancial valida sus arquitecturas en datasets corporativos cerrados y propietarios no estandarizados, los cuales no reportan intervalos de confianza ni desviaciones estándar requeridas para un modelo metaanalítico combinado. En consecuencia, la síntesis estructurada por preguntas de investigación constituye el enfoque epistemológicamente riguroso y apropiado.</w:t>
      </w:r>
    </w:p>
    <w:p>
      <w:pPr>
        <w:spacing w:line="240" w:lineRule="auto" w:before="0" w:after="80"/>
        <w:jc w:val="both"/>
      </w:pPr>
      <w:r>
        <w:rPr>
          <w:rFonts w:ascii="Times New Roman" w:hAnsi="Times New Roman"/>
          <w:i w:val="0"/>
          <w:sz w:val="19"/>
        </w:rPr>
        <w:t>Para garantizar la trazabilidad biunívoca entre la formulación metodológica y la evidencia empírica, cada una de las siete preguntas de investigación (PD1–PD3 y PI1–PI4) se mapea directamente con una tabla y un gráfico cuantitativo asignado en la sección de Resultados (ver Tabla XI):</w:t>
      </w:r>
    </w:p>
    <w:p>
      <w:pPr>
        <w:keepNext/>
        <w:spacing w:before="140" w:after="20"/>
        <w:jc w:val="center"/>
      </w:pPr>
      <w:r>
        <w:rPr>
          <w:rFonts w:ascii="Times New Roman" w:hAnsi="Times New Roman"/>
          <w:b/>
          <w:sz w:val="16"/>
        </w:rPr>
        <w:t>TABLA XI</w:t>
        <w:br/>
      </w:r>
      <w:r>
        <w:rPr>
          <w:rFonts w:ascii="Times New Roman" w:hAnsi="Times New Roman"/>
          <w:sz w:val="16"/>
        </w:rPr>
        <w:t>MATRIZ DE ENLACE BIUNÍVOCO ENTRE PREGUNTAS Y RESULTADOS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Pregunta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Contenido Temático a Responder</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Tabla de Evidencia Asignada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Gráfico Asignado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Evolución temporal de publicaciones sobre IA/IDP en documentos empresariales.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Distribución anual de artículos (2020–2025).</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líneas de tendencia temporal.</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PD2</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Productividad académica por autores, revistas indexadas y países líderes.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Ranking de las 10 revistas líderes, autores prolíficos y países.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barras geográfico y red de coocurrencia de palabras clave en VOSviewer.</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Distribución de diseños metodológicos y datasets (públicos vs. privados).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Tabla cruzada: diseño metodológico × tipo de dataset.</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burbujas (mapeo sistemático de Petersen et al. [138]).</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Taxonomía de enfoques algorítmicos (secuencias, grafos, transformers multimodales).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Matriz de arquitecturas de IA identificadas.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barras por familia algorítmica (síntesis temática [134], [135]).</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PI2</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Rendimiento cuantitativo reportado (F1-score, exactitud, latencia de inferencia).</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Tabla comparativa de métricas por benchmark (SROIE, FUNSD, CORD).</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Síntesis narrativa estructurada (Popay et al. [136]) con rangos [mín, máx] y dispersión.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Comparativa de eficiencia y costo: IA/IDP frente a ingreso manual y reglas.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Conteo de votos de dirección del efecto (mejora, sin diferencia, empeora).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Método SWiM (Campbell et al. [137]) con gráfico de barras divergentes.</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PI4</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Tipologías documentales (facturas, recibos) y sistemas ERP/CRM integrados.</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Frecuencia por tipo de documento × plataforma.</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Matriz de calor (heatmap) documental.</w:t>
            </w:r>
          </w:p>
        </w:tc>
      </w:tr>
    </w:tbl>
    <w:p>
      <w:pPr>
        <w:keepNext/>
        <w:spacing w:before="160" w:after="40"/>
        <w:jc w:val="left"/>
      </w:pPr>
      <w:r>
        <w:rPr>
          <w:rFonts w:ascii="Times New Roman" w:hAnsi="Times New Roman"/>
          <w:b/>
          <w:i/>
          <w:sz w:val="19"/>
        </w:rPr>
        <w:t>M. Amenazas a la Validez y Mitigación</w:t>
      </w:r>
    </w:p>
    <w:p>
      <w:pPr>
        <w:spacing w:line="240" w:lineRule="auto" w:before="0" w:after="80"/>
        <w:jc w:val="both"/>
      </w:pPr>
      <w:r>
        <w:rPr>
          <w:rFonts w:ascii="Times New Roman" w:hAnsi="Times New Roman"/>
          <w:i w:val="0"/>
          <w:sz w:val="19"/>
        </w:rPr>
        <w:t>Para salvaguardar la solidez del estudio, se analizaron cuatro amenazas potenciales a la validez, implementando acciones preventivas en cada fase del protocolo (ver Tabla XII):</w:t>
      </w:r>
    </w:p>
    <w:p>
      <w:pPr>
        <w:keepNext/>
        <w:spacing w:before="140" w:after="20"/>
        <w:jc w:val="center"/>
      </w:pPr>
      <w:r>
        <w:rPr>
          <w:rFonts w:ascii="Times New Roman" w:hAnsi="Times New Roman"/>
          <w:b/>
          <w:sz w:val="16"/>
        </w:rPr>
        <w:t>TABLA XII</w:t>
        <w:br/>
      </w:r>
      <w:r>
        <w:rPr>
          <w:rFonts w:ascii="Times New Roman" w:hAnsi="Times New Roman"/>
          <w:sz w:val="16"/>
        </w:rPr>
        <w:t>AMENAZAS A LA VALIDEZ Y ACCIONES DE MITIGACIÓN</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Dimensión</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Riesgo de Sesgo Identificado</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Estrategia de Mitigación Implementada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 Selección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Omisión de literatura relevante o inclusión de ruido ajeno.</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Búsqueda simétrica en Scopus y WoS Core Collection con ecuación calibrada libre de polisemia.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 Publicación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Predominancia de literatura que reporta solo resultados favorables.</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 de artículos con reportes de limitaciones en escaneos con ruido y layouts complejos.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del Evaluador</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Subjetividad individual durante el cribado y control QA.</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Evaluación en doble ciego independiente con medición Kappa (κ = 0.88 en cribado, κ = 0.92 en texto completo).</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Validez de Constructo</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Desalineación entre términos de búsqueda y conceptos reales.</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Derivación rigurosa desde la matriz PICOC e incorporación de sinónimos técnicos (KIE, VRD, LayoutLM).</w:t>
            </w:r>
          </w:p>
        </w:tc>
      </w:tr>
    </w:tbl>
    <w:p>
      <w:pPr>
        <w:keepNext/>
        <w:spacing w:before="220" w:after="80"/>
        <w:jc w:val="center"/>
      </w:pPr>
      <w:r>
        <w:rPr>
          <w:rFonts w:ascii="Times New Roman" w:hAnsi="Times New Roman"/>
          <w:b/>
          <w:sz w:val="20"/>
        </w:rPr>
        <w:t>III. RESULTADOS</w:t>
      </w:r>
    </w:p>
    <w:p>
      <w:pPr>
        <w:keepNext/>
        <w:spacing w:before="160" w:after="40"/>
        <w:jc w:val="left"/>
      </w:pPr>
      <w:r>
        <w:rPr>
          <w:rFonts w:ascii="Times New Roman" w:hAnsi="Times New Roman"/>
          <w:b/>
          <w:i/>
          <w:sz w:val="19"/>
        </w:rPr>
        <w:t>A. Apertura General del Corpus y Protocolo de Síntesis</w:t>
      </w:r>
    </w:p>
    <w:p>
      <w:pPr>
        <w:spacing w:line="240" w:lineRule="auto" w:before="0" w:after="80"/>
        <w:jc w:val="both"/>
      </w:pPr>
      <w:r>
        <w:rPr>
          <w:rFonts w:ascii="Times New Roman" w:hAnsi="Times New Roman"/>
          <w:i w:val="0"/>
          <w:sz w:val="19"/>
        </w:rPr>
        <w:t>La presente sección describe y cuantifica de forma objetiva la evidencia empírica extraída del corpus de literatura científica incluido, en estricto apego a las directrices de reporte de Kitchenham &amp; Charters (2007) [1], los estándares internacionales de la declaración PRISMA 2020 [2] y las directrices metodológicas de la guía docente institucional. La totalidad de los hallazgos se reporta en tercera persona impersonal y con verbos de reporte neutros, reservando las deducciones teóricas y reflexiones causales para la sección de Discusión.</w:t>
      </w:r>
    </w:p>
    <w:p>
      <w:pPr>
        <w:spacing w:line="240" w:lineRule="auto" w:before="0" w:after="80"/>
        <w:jc w:val="both"/>
      </w:pPr>
      <w:r>
        <w:rPr>
          <w:rFonts w:ascii="Times New Roman" w:hAnsi="Times New Roman"/>
          <w:i w:val="0"/>
          <w:sz w:val="19"/>
        </w:rPr>
        <w:t>El corpus documental primario quedó formalmente cerrado y congelado en un total de N = 131 artículos de revista científica indexada (100 % Journal Articles, sin actas de congreso, preprints, tesis ni literatura gris), habiendo superado el control de calidad metodológica (QA &gt;= 3.50 / 5.00; media global = 4.61 / 5.00). Este volumen supera con holgura el umbral de suficiencia documental exigido para tecnologías con ventana temporal menor a 10 años (n &gt;= 35 estudios). La numeración de citas bibliográficas mantiene una relación matemática biunívoca unívoca: Ref IEEE [n] = ID S + 2, donde las citas [1] y [2] corresponden a las normas metodológicas marco (Kitchenham &amp; Charters y PRISMA 2020), los 131 estudios primarios del corpus se indexan de manera inalterable entre [3] y [133] (desde [S001] hasta [S131]), y las referencias metodológicas complementarias de síntesis documental y cienciometría se ubican en [134] a [140].</w:t>
      </w:r>
    </w:p>
    <w:p>
      <w:pPr>
        <w:spacing w:line="240" w:lineRule="auto" w:before="0" w:after="80"/>
        <w:jc w:val="both"/>
      </w:pPr>
      <w:r>
        <w:rPr>
          <w:rFonts w:ascii="Times New Roman" w:hAnsi="Times New Roman"/>
          <w:i w:val="0"/>
          <w:sz w:val="19"/>
        </w:rPr>
        <w:t>Conforme a los ítems 13a–13f de PRISMA 2020 y para mitigar el sesgo de conveniencia (reporting bias), la selección de la estrategia analítica para cada interrogante se formalizó antes de la consolidación de los datos: 1) Síntesis Temática (Thomas &amp; Harden [134]; Cruzes &amp; Dybå [135]) para la taxonomía algorítmica de arquitecturas IA/IDP (PI1) y el mapeo de tipologías documentales y sistemas ERP/CRM (PI4); 2) Síntesis Narrativa Estructurada (Popay et al. [136]) para el análisis de rendimiento técnico (PI2), organizando las métricas cuantitativas (F1-score, exactitud, latencia) por benchmarks estándar (SROIE, FUNSD, CORD) y reportando rangos empíricos [mín, máx] sin promediar métricas entre datasets incompatibles; 3) Síntesis sin metaanálisis — SWiM (Campbell et al. [137]) para contrastar las soluciones IA/IDP frente a líneas base tradicionales y manuales (PI3), utilizando el conteo de votos de dirección del efecto (Mejora, Sin diferencia, Empeora) y barras divergentes; 4) Mapeo Sistemático Matricial (Petersen et al. [138]) para caracterizar la evolución temporal (PD1) y el cruce bidimensional entre diseños metodológicos y tipologías de dataset (PD3) mediante gráficos de burbujas; 5) Mapeo Cienciométrico y Análisis de Redes (van Eck &amp; Waltman [139]) en PD2 para identificar núcleos de producción científica (revistas, países, autores) y la estructura de coocurrencia de palabras clave de autor en VOSviewer con umbral de &gt;= 3 apariciones; y 6) Calificación de Certeza de la Evidencia (Lewin et al. [140]) mediante el marco GRADE-CERQual sobre 4 pilares para ponderar cada hallazgo principal.</w:t>
      </w:r>
    </w:p>
    <w:p>
      <w:pPr>
        <w:keepNext/>
        <w:spacing w:before="160" w:after="40"/>
        <w:jc w:val="left"/>
      </w:pPr>
      <w:r>
        <w:rPr>
          <w:rFonts w:ascii="Times New Roman" w:hAnsi="Times New Roman"/>
          <w:b/>
          <w:i/>
          <w:sz w:val="19"/>
        </w:rPr>
        <w:t>B. Evolución Temporal de la Producción Científica (PD1)</w:t>
      </w:r>
    </w:p>
    <w:p>
      <w:pPr>
        <w:spacing w:line="240" w:lineRule="auto" w:before="0" w:after="80"/>
        <w:jc w:val="both"/>
      </w:pPr>
      <w:r>
        <w:rPr>
          <w:rFonts w:ascii="Times New Roman" w:hAnsi="Times New Roman"/>
          <w:i w:val="0"/>
          <w:sz w:val="19"/>
        </w:rPr>
        <w:t>Para determinar el comportamiento cronológico de la literatura sobre IA/IDP aplicada al procesamiento de documentos de negocio entre 2020 y 2025/2026, se contabilizó la distribución de los 131 artículos primarios por año de publicación formal indexada, cuyos datos cuantitativos se detallan en la TABLA XIII y se visualizan gráficamente en la Fig. 2.</w:t>
      </w:r>
    </w:p>
    <w:p>
      <w:pPr>
        <w:keepNext/>
        <w:spacing w:before="140" w:after="20"/>
        <w:jc w:val="center"/>
      </w:pPr>
      <w:r>
        <w:rPr>
          <w:rFonts w:ascii="Times New Roman" w:hAnsi="Times New Roman"/>
          <w:b/>
          <w:sz w:val="16"/>
        </w:rPr>
        <w:t>TABLA XIII</w:t>
        <w:br/>
      </w:r>
      <w:r>
        <w:rPr>
          <w:rFonts w:ascii="Times New Roman" w:hAnsi="Times New Roman"/>
          <w:sz w:val="16"/>
        </w:rPr>
        <w:t>DISTRIBUCIÓN CRONOLÓGICA DE LA PRODUCCIÓN CIENTÍFICA (2020–2025/2026)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Año de Publicación</w:t>
            </w:r>
          </w:p>
        </w:tc>
        <w:tc>
          <w:tcPr>
            <w:tcW w:type="dxa" w:w="40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Estudios Primarios Indexados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Absoluta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Relativa (%)</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Porcentaje Acumulado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2020</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[64], [111], [130], [131]</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2021</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[58]–[63], [112]–[114], [123], [126]–[129]</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10.7 %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2022</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[50]–[55], [57], [103]–[109], [125], [132], [133]</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17</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13.0 %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26.8 %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2023</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[39]–[49], [67], [90]–[92], [94]–[102], [121], [124]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26</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19.8 %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46.6 %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2024</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[28]–[31], [33]–[38], [84], [86]–[89], [120]</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16</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12.2 %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58.8 %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2025</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[4]–[27], [32], [56], [68]–[83], [85], [93], [110], [115]–[119], [122]</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51</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38.9 %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97.7 %</w:t>
            </w:r>
          </w:p>
        </w:tc>
      </w:tr>
      <w:tr>
        <w:trPr>
          <w:cantSplit/>
        </w:trPr>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2026*</w:t>
            </w:r>
          </w:p>
        </w:tc>
        <w:tc>
          <w:tcPr>
            <w:tcW w:type="dxa" w:w="40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 [65], [66]</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3</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2.3 %</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 Nota: Los estudios fechados en 2026 corresponden a artículos aceptados e incorporados en modalidad Early Access / In Press en Scopus y Web of Science durante el cierre de 2025 ([3], [65], [66]). 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635361"/>
            <wp:docPr id="2" name="Picture 2"/>
            <wp:cNvGraphicFramePr>
              <a:graphicFrameLocks noChangeAspect="1"/>
            </wp:cNvGraphicFramePr>
            <a:graphic>
              <a:graphicData uri="http://schemas.openxmlformats.org/drawingml/2006/picture">
                <pic:pic>
                  <pic:nvPicPr>
                    <pic:cNvPr id="0" name="fig2_evolucion_anual.png"/>
                    <pic:cNvPicPr/>
                  </pic:nvPicPr>
                  <pic:blipFill>
                    <a:blip r:embed="rId10"/>
                    <a:stretch>
                      <a:fillRect/>
                    </a:stretch>
                  </pic:blipFill>
                  <pic:spPr>
                    <a:xfrm>
                      <a:off x="0" y="0"/>
                      <a:ext cx="3063240" cy="1635361"/>
                    </a:xfrm>
                    <a:prstGeom prst="rect"/>
                  </pic:spPr>
                </pic:pic>
              </a:graphicData>
            </a:graphic>
          </wp:inline>
        </w:drawing>
      </w:r>
    </w:p>
    <w:p>
      <w:pPr>
        <w:spacing w:before="40" w:after="120"/>
        <w:jc w:val="both"/>
      </w:pPr>
      <w:r>
        <w:rPr>
          <w:rFonts w:ascii="Times New Roman" w:hAnsi="Times New Roman"/>
          <w:b/>
          <w:sz w:val="17"/>
        </w:rPr>
        <w:t xml:space="preserve">Fig. 2. </w:t>
      </w:r>
      <w:r>
        <w:rPr>
          <w:rFonts w:ascii="Times New Roman" w:hAnsi="Times New Roman"/>
          <w:sz w:val="17"/>
        </w:rPr>
        <w:t xml:space="preserve">Evolución temporal de publicaciones sobre IA/IDP en documentos empresariales (2020–2025/2026, N = 131). </w:t>
      </w:r>
      <w:r>
        <w:rPr>
          <w:rFonts w:ascii="Times New Roman" w:hAnsi="Times New Roman"/>
          <w:sz w:val="16"/>
        </w:rPr>
        <w:t xml:space="preserve">Barras: volumen anual absoluto (n); línea roja: porcentaje acumulado (%).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PD1): </w:t>
      </w:r>
      <w:r>
        <w:rPr>
          <w:rFonts w:ascii="Times New Roman" w:hAnsi="Times New Roman"/>
          <w:i w:val="0"/>
          <w:sz w:val="19"/>
        </w:rPr>
        <w:t>Ciento treinta y un estudios (100.0 % del corpus primario; [3]–[133]) respondieron a la evolución cronológica de la producción científica en IA e IDP aplicada a sistemas documentales corporativos (PD1). Mediante mapeo sistemático cronológico se identificó una trayectoria de crecimiento marcadamente expansiva y no lineal a lo largo del sexenio 2020–2025/2026, con una concentración máxima de publicaciones en el bienio final (TABLA XIII, Fig. 2).</w:t>
      </w:r>
    </w:p>
    <w:p>
      <w:pPr>
        <w:spacing w:line="240" w:lineRule="auto" w:before="0" w:after="80"/>
        <w:jc w:val="both"/>
      </w:pPr>
      <w:r>
        <w:rPr>
          <w:rFonts w:ascii="Times New Roman" w:hAnsi="Times New Roman"/>
          <w:b/>
          <w:sz w:val="19"/>
        </w:rPr>
        <w:t xml:space="preserve">2) Desarrollo por Categoría y Fases Temporales: </w:t>
      </w:r>
      <w:r>
        <w:rPr>
          <w:rFonts w:ascii="Times New Roman" w:hAnsi="Times New Roman"/>
          <w:i w:val="0"/>
          <w:sz w:val="19"/>
        </w:rPr>
        <w:t>La dinámica temporal de publicación se articula en tres periodos analíticos diferenciados:</w:t>
        <w:br/>
        <w:t>a) Fase de emergencia y cimientos basados en OCR-CNN (2020–2021): Reúne 18 estudios (13.7 % del corpus; [58]–[64], [111]–[114], [123], [126]–[131]), donde predominaron propuestas orientadas a mejorar la binarización de escaneos, OCR neuronal con LSTM y segmentación clásica con Mask R-CNN, registrando tasas de publicación moderadas (4 estudios en 2020 y 14 en 2021). El 88.9 % de los estudios de esta fase reportó calidad alta, aunque con certeza CERQual moderada.</w:t>
        <w:br/>
        <w:t>b) Fase de consolidación de Transformers Multimodales (2022–2023): Concentra 43 estudios (32.8 % del corpus; [39]–[55], [57], [67], [90]–[92], [94]–[109], [121], [124], [125], [132], [133]), representando el primer punto de inflexión significativo al pasar de 17 artículos en 2022 a 26 en 2023 (19.8 % anual), impulsada por la adopción de modelos multimodales preentrenados (LayoutLMv2/v3, StrucTexT, BROS) y redes de grafos (GCN) para extracción de entidades clave (KIE).</w:t>
        <w:br/>
        <w:t>c) Fase de aceleración exponencial con VLMs y Modelos Generativos (2025–2026*): Agrupa 54 estudios (41.2 % del corpus; [3]–[27], [32], [56], [65], [66], [68]–[83], [85], [93], [110], [115]–[119], [122]), constituyendo la etapa más prolífica con 51 publicaciones en 2025 (38.9 %) y 3 en Early Access para 2026 (2.3 %; [3], [65], [66]), gracias al despliegue masivo de Vision-Language Models y LLMs adaptados con prompt engineering.</w:t>
      </w:r>
    </w:p>
    <w:p>
      <w:pPr>
        <w:spacing w:line="240" w:lineRule="auto" w:before="0" w:after="80"/>
        <w:jc w:val="both"/>
      </w:pPr>
      <w:r>
        <w:rPr>
          <w:rFonts w:ascii="Times New Roman" w:hAnsi="Times New Roman"/>
          <w:b/>
          <w:sz w:val="19"/>
        </w:rPr>
        <w:t xml:space="preserve">3) Contrastes y Debates Temporales: </w:t>
      </w:r>
      <w:r>
        <w:rPr>
          <w:rFonts w:ascii="Times New Roman" w:hAnsi="Times New Roman"/>
          <w:i w:val="0"/>
          <w:sz w:val="19"/>
        </w:rPr>
        <w:t>A pesar de la tendencia global alcista, la literatura experimentó una desaceleración temporal transitoria durante 2024, con 16 estudios reportados (12.2 %; [28]–[31], [33]–[38], [84], [86]–[89], [120]), cifra inferior a los 26 estudios alcanzados en 2023. El análisis de los manuscritos revela que este valle temporal obedeció al agotamiento empírico de las arquitecturas de grafos tradicionales y pipelines híbridos heurísticos [28], [34], [86], los cuales exhibían techos de rendimiento frente a distorsiones complejas, provocando un viraje en los laboratorios de investigación hacia la reconfiguración y entrenamiento de modelos fundacionales multimodales y arquitecturas zero-shot que vieron la luz masivamente en 2025 [3], [6], [12], [22], [32].</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literatura sobre IA/IDP en sistemas corporativos evidencia una trayectoria de maduración irreversible, transitando desde la simple corrección óptica de caracteres hacia sistemas integrales de comprensión de documentos ricos visualmente (Visually-Rich Documents). No se identificaron estudios longitudinales que evalúen la degradación de los modelos a lo largo de más de dos años operativos en empresas. Al ejecutar el análisis de sensibilidad excluyendo los 10 estudios del estrato inferior de calidad (QA = 3.5; [116]–[118], [121]–[123], [127], [128], [132], [133]), la proporción correspondiente al ciclo 2025–2026 se elevó al 42.1 % (51 de 121 estudios), ratificando la robustez de la tendencia expansiva.</w:t>
      </w:r>
    </w:p>
    <w:p>
      <w:pPr>
        <w:keepNext/>
        <w:spacing w:before="160" w:after="40"/>
        <w:jc w:val="left"/>
      </w:pPr>
      <w:r>
        <w:rPr>
          <w:rFonts w:ascii="Times New Roman" w:hAnsi="Times New Roman"/>
          <w:b/>
          <w:i/>
          <w:sz w:val="19"/>
        </w:rPr>
        <w:t>C. Productividad por Revistas, Autores, Países y Red de Coocurrencia (PD2)</w:t>
      </w:r>
    </w:p>
    <w:p>
      <w:pPr>
        <w:spacing w:line="240" w:lineRule="auto" w:before="0" w:after="80"/>
        <w:jc w:val="both"/>
      </w:pPr>
      <w:r>
        <w:rPr>
          <w:rFonts w:ascii="Times New Roman" w:hAnsi="Times New Roman"/>
          <w:i w:val="0"/>
          <w:sz w:val="19"/>
        </w:rPr>
        <w:t>Para responder a PD2, se normalizaron los títulos de las revistas indexadas, se contabilizó la productividad de los autores, se aplicó la regla estricta de afiliación geográfica institucional del autor principal (primer autor) y se estructuró la red de coocurrencia de palabras clave de autor (Author Keywords) con un umbral de frecuencia &gt;= 3 en VOSviewer [139]. La evidencia bibliométrica se compendia en la TABLA XIV, la TABLA XV y la Fig. 3.</w:t>
      </w:r>
    </w:p>
    <w:p>
      <w:pPr>
        <w:keepNext/>
        <w:spacing w:before="140" w:after="20"/>
        <w:jc w:val="center"/>
      </w:pPr>
      <w:r>
        <w:rPr>
          <w:rFonts w:ascii="Times New Roman" w:hAnsi="Times New Roman"/>
          <w:b/>
          <w:sz w:val="16"/>
        </w:rPr>
        <w:t>TABLA XIV</w:t>
        <w:br/>
      </w:r>
      <w:r>
        <w:rPr>
          <w:rFonts w:ascii="Times New Roman" w:hAnsi="Times New Roman"/>
          <w:sz w:val="16"/>
        </w:rPr>
        <w:t>REVISTAS CIENTÍFICAS LÍDERES EN PROCESAMIENTO INTELIGENTE DE DOCUMENTOS EMPRESARIALES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360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Revista Científica Indexada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Editorial</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Cuartil</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Artículos en Corpus [n]</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Relativa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IEEE Access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IEEE</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 / 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 [8], [16], [26], [59]–[61], [84], [88], [94], [103], [108], [131]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 (9.9 %)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International Journal on Document Analysis and Recognition (IJDAR)</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[9], [33], [35], [39], [50], [65], [66], [70], [77], [115]</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10 (7.6 %)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Pattern Recognition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 [41], [80], [92], [105], [120]</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 (4.6 %)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Multimedia Tools and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[15], [21], [52], [55], [57]</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 (3.8 %)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Expert Systems with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[11], [36], [67], [83]</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Engineering Applications of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[24], [101], [114], [119]</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Applied Sciences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[79], [85], [97], [123]</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Electronics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[7], [42]</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International Journal of Pattern Recognition and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World Scientific</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Q3</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[47], [89], [121]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Neurocomputing</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[23], [38], [51]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Computers, Materials and Continua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Tech Science Press</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[22], [62], [109]</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Proceedings of the VLDB Endowment (PVLDB)</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VLDB Endowment</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[58], [112], [130]</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Otras 61 revistas indexadas (&lt;= 2 estudios c/u)</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Diversas</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Q1–Q3</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Citas dispersas [10], [12], [13], [17]–[20], etc.</w:t>
            </w:r>
          </w:p>
        </w:tc>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70 (53.4 %)</w:t>
            </w:r>
          </w:p>
        </w:tc>
      </w:tr>
    </w:tbl>
    <w:p>
      <w:pPr>
        <w:spacing w:before="40" w:after="120"/>
        <w:jc w:val="left"/>
      </w:pPr>
      <w:r>
        <w:rPr>
          <w:rFonts w:ascii="Times New Roman" w:hAnsi="Times New Roman"/>
          <w:i/>
          <w:sz w:val="16"/>
        </w:rPr>
        <w:t>Fuente: elaboración propia a partir del corpus primario [3]–[133]. Nombres de revistas unificados y normalizados de Scopus y Web of Science.</w:t>
      </w:r>
    </w:p>
    <w:p>
      <w:pPr>
        <w:keepNext/>
        <w:spacing w:before="140" w:after="20"/>
        <w:jc w:val="center"/>
      </w:pPr>
      <w:r>
        <w:rPr>
          <w:rFonts w:ascii="Times New Roman" w:hAnsi="Times New Roman"/>
          <w:b/>
          <w:sz w:val="16"/>
        </w:rPr>
        <w:t>TABLA XV</w:t>
        <w:br/>
      </w:r>
      <w:r>
        <w:rPr>
          <w:rFonts w:ascii="Times New Roman" w:hAnsi="Times New Roman"/>
          <w:sz w:val="16"/>
        </w:rPr>
        <w:t>CONCENTRACIÓN GEOGRÁFICA POR AFILIACIÓN DEL PRIMER AUTOR Y AUTORES DESTACADOS (N = 131)</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País de Afiliación (Primer Autor)</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Autores Más Prolíficos en el Corpus (&gt;= 3 publicaciones)</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29.8 %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Zhang J. (4; [43], [81], [82], [120]), Zhang Y. (4; [78], [79], [81], [82]), Li C. (3; [9], [15], [32]), Liu J. (3; [19], [34], [74]), Zhang W. (3; [26], [37], [73]), Ma J. (3; [37], [43], [120]), Zhang Z. (3; [43], [83], [120]).</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India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8.4 %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Tiwari D. (2; [10], [31]), Gupta A. (2; [10], [31]), Baviskar D. (2; [60], [129]), Ahirrao S. (2; [60], [129]), Kotecha K. (2; [60], [129]).</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Estados Unidos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7.6 %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Wang P. (3; [47], [89], [121]), Lai P. (2; [89], [121]), Kim S. (2; [89], [121]), Burdick D. (1; [130]).</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Alemania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6.9 %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Hashmi K.A. (3; [59], [61], [123]), Liwicki M. (3; [59], [61], [123]), Stricker D. (3; [59], [61], [123]), Afzal M.Z. (2; [59], [61]).</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Corea del Sur</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4.6 %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Lee S. (3; [42], [71], [121]), Lee E. (2; [52], [71]), Cho N.I. (2; [52], [71]).</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Canadá</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Simsek M. (4; [11], [35], [48], [51]), Kantarci B. (4; [11], [35], [48], [51]), Xiao B. (3; [11], [35], [48]), Alkheir A.A. (3; [11], [35], [48]).</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Vietnam</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Tran A.C. (2; [75], [107]), Nguyen H.T. (2; [75], [107]), Nguyen M.-T. (2; [67], [114]).</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Taiwán</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3.1 %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Chen L.-C. (1; [4]), Lin H.-Y. (1; [98]), Lee W.-T. (1; [106]), Huang C.-C. (1; [106]).</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Turquía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3.1 %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Oral B. (2; [50], [64]), Eryiğit G. (2; [50], [64]), Sayallar C. (1; [100]), Arslan H. (1; [103]).</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España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2.3 %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Fornés A. (2; [105], [111]), Lladós J. (2; [105], [116]), Sainz-De-Abajo B. (1; [131]).</w:t>
            </w:r>
          </w:p>
        </w:tc>
      </w:tr>
      <w:tr>
        <w:trPr>
          <w:cantSplit/>
        </w:trPr>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Otros 22 países (&lt;= 2 estudios c/u)</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38</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29.0 %</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Investigadores con filiaciones en Australia, Reino Unido, Singapur, Francia, Italia, etc.</w:t>
            </w:r>
          </w:p>
        </w:tc>
      </w:tr>
    </w:tbl>
    <w:p>
      <w:pPr>
        <w:spacing w:before="40" w:after="120"/>
        <w:jc w:val="left"/>
      </w:pPr>
      <w:r>
        <w:rPr>
          <w:rFonts w:ascii="Times New Roman" w:hAnsi="Times New Roman"/>
          <w:i/>
          <w:sz w:val="16"/>
        </w:rPr>
        <w:t>Fuente: elaboración propia a partir del corpus primario [3]–[133]. Regla de país: país de la institución universitaria o centro corporativo del primer autor.</w:t>
      </w:r>
    </w:p>
    <w:p>
      <w:pPr>
        <w:keepNext/>
        <w:spacing w:before="120" w:after="40"/>
        <w:jc w:val="center"/>
      </w:pPr>
      <w:r>
        <w:drawing>
          <wp:inline xmlns:a="http://schemas.openxmlformats.org/drawingml/2006/main" xmlns:pic="http://schemas.openxmlformats.org/drawingml/2006/picture">
            <wp:extent cx="3063240" cy="1533581"/>
            <wp:docPr id="3" name="Picture 3"/>
            <wp:cNvGraphicFramePr>
              <a:graphicFrameLocks noChangeAspect="1"/>
            </wp:cNvGraphicFramePr>
            <a:graphic>
              <a:graphicData uri="http://schemas.openxmlformats.org/drawingml/2006/picture">
                <pic:pic>
                  <pic:nvPicPr>
                    <pic:cNvPr id="0" name="fig3_vosviewer_geografia.png"/>
                    <pic:cNvPicPr/>
                  </pic:nvPicPr>
                  <pic:blipFill>
                    <a:blip r:embed="rId11"/>
                    <a:stretch>
                      <a:fillRect/>
                    </a:stretch>
                  </pic:blipFill>
                  <pic:spPr>
                    <a:xfrm>
                      <a:off x="0" y="0"/>
                      <a:ext cx="3063240" cy="1533581"/>
                    </a:xfrm>
                    <a:prstGeom prst="rect"/>
                  </pic:spPr>
                </pic:pic>
              </a:graphicData>
            </a:graphic>
          </wp:inline>
        </w:drawing>
      </w:r>
    </w:p>
    <w:p>
      <w:pPr>
        <w:spacing w:before="40" w:after="120"/>
        <w:jc w:val="both"/>
      </w:pPr>
      <w:r>
        <w:rPr>
          <w:rFonts w:ascii="Times New Roman" w:hAnsi="Times New Roman"/>
          <w:b/>
          <w:sz w:val="17"/>
        </w:rPr>
        <w:t xml:space="preserve">Fig. 3. </w:t>
      </w:r>
      <w:r>
        <w:rPr>
          <w:rFonts w:ascii="Times New Roman" w:hAnsi="Times New Roman"/>
          <w:sz w:val="17"/>
        </w:rPr>
        <w:t xml:space="preserve">Concentración geográfica de la investigación y principales clústeres temáticos derivados de palabras clave de autor (PD2, N = 131). </w:t>
      </w:r>
      <w:r>
        <w:rPr>
          <w:rFonts w:ascii="Times New Roman" w:hAnsi="Times New Roman"/>
          <w:sz w:val="16"/>
        </w:rPr>
        <w:t xml:space="preserve">(a) Distribución porcentual por país de afiliación del autor principal; (b) Frecuencia de descriptores con umbral ≥ 3 ocurrencias en VOSviewer.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PD2): </w:t>
      </w:r>
      <w:r>
        <w:rPr>
          <w:rFonts w:ascii="Times New Roman" w:hAnsi="Times New Roman"/>
          <w:i w:val="0"/>
          <w:sz w:val="19"/>
        </w:rPr>
        <w:t>Ciento treinta y un artículos primarios (100.0 % del corpus; [3]–[133]) respondieron a la distribución de productividad académica por revistas, autores, países y estructura temática de redes (PD2). Mediante análisis cienciométrico y mapeo de coocurrencia en VOSviewer [139] se identificó una concentración de publicaciones en revistas especializadas de procesamiento de documentos e ingeniería de sistemas, liderada a nivel geográfico por instituciones de China, India y Estados Unidos, con una marcada desconcentración autoral (TABLA XIV, TABLA XV, Fig. 3).</w:t>
      </w:r>
    </w:p>
    <w:p>
      <w:pPr>
        <w:spacing w:line="240" w:lineRule="auto" w:before="0" w:after="80"/>
        <w:jc w:val="both"/>
      </w:pPr>
      <w:r>
        <w:rPr>
          <w:rFonts w:ascii="Times New Roman" w:hAnsi="Times New Roman"/>
          <w:b/>
          <w:sz w:val="19"/>
        </w:rPr>
        <w:t xml:space="preserve">2) Desarrollo por Categoría y Redes Temáticas: </w:t>
      </w:r>
      <w:r>
        <w:rPr>
          <w:rFonts w:ascii="Times New Roman" w:hAnsi="Times New Roman"/>
          <w:i w:val="0"/>
          <w:sz w:val="19"/>
        </w:rPr>
        <w:t>La evidencia se estructura en tres dimensiones bibliométricas:</w:t>
        <w:br/>
        <w:t>a) Núcleos de difusión y revistas líderes: Doce revistas concentraron el 46.6 % de la producción global (61 de 131 artículos; TABLA XIV). El canal predominante fue IEEE Access con 13 artículos (9.9 %; [5], [8], [16], [26], [59]–[61], [84], [88], [94], [103], [108], [131]), seguido de International Journal on Document Analysis and Recognition (IJDAR) de Springer con 10 artículos (7.6 %; [9], [33], [35], [39], [50], [65], [66], [70], [77], [115]) y Pattern Recognition de Elsevier con 6 artículos (4.6 %; [3], [41], [80], [92], [105], [120]).</w:t>
        <w:br/>
        <w:t>b) Polos geográficos de investigación: Conforme a la regla de asignación por primer autor, China lideró con 39 estudios (29.8 %; TABLA XV, Fig. 3a), seguida de India con 11 estudios (8.4 %) y Estados Unidos con 10 estudios (7.6 %). Europa occidental sumó presencia relevante con Alemania (9 estudios, 6.9 %) y España (3 estudios, 2.3 %).</w:t>
        <w:br/>
        <w:t>c) Red cienciométrica de palabras clave (VOSviewer): Con umbral &gt;= 3 apariciones se configuraron tres clústeres conceptuales (Fig. 3b): Clúster 1 (Extracción y Semántica: Information Extraction con 26 ocurrencias, Document Understanding con 6 y KIE con 4); Clúster 2 (Paradigmas Algorítmicos: Deep Learning con 21 ocurrencias, OCR con 24 y Transformers con 5); y Clúster 3 (Estructuras Complejas: Table Structure Recognition con 11 ocurrencias, Table Detection con 11 y Object Detection con 8).</w:t>
      </w:r>
    </w:p>
    <w:p>
      <w:pPr>
        <w:spacing w:line="240" w:lineRule="auto" w:before="0" w:after="80"/>
        <w:jc w:val="both"/>
      </w:pPr>
      <w:r>
        <w:rPr>
          <w:rFonts w:ascii="Times New Roman" w:hAnsi="Times New Roman"/>
          <w:b/>
          <w:sz w:val="19"/>
        </w:rPr>
        <w:t xml:space="preserve">3) Contrastes y Dispersión Autoral: </w:t>
      </w:r>
      <w:r>
        <w:rPr>
          <w:rFonts w:ascii="Times New Roman" w:hAnsi="Times New Roman"/>
          <w:i w:val="0"/>
          <w:sz w:val="19"/>
        </w:rPr>
        <w:t>A diferencia de la marcada concentración institucional observada en China y en revistas como IEEE Access e IJDAR, el análisis de autoría evidenció una alta dispersión autoral. De los 498 investigadores vinculados al corpus, 422 autores (84.7 %) publicaron exactamente un solo artículo dentro de la ventana 2020–2025. Solo dos clústeres cooperativos sostuvieron productividad serial en el tema: el grupo de la Universidad de Ottawa en Canadá (Simsek M., Kantarci B., Xiao B. y Alkheir A.A. con 4 publicaciones conjuntas sobre tablas y hojas de datos; [11], [35], [48], [51]) y el grupo del DFKI / Universidad de Kaiserslautern en Alemania (Hashmi K.A., Liwicki M., Stricker D. y Afzal M.Z. con 3 estudios de detección tabular; [59], [61], [123]). Esto demuestra que la automatización de documentos empresariales es abordada principalmente por iniciativas de investigación aplicadas y distribuidas, y no por un laboratorio hegemónico.</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Se constata una brecha geográfica crítica: no se identificaron artículos del corpus con autor principal afiliado a instituciones de América Latina dedicados a documentos tributarios o empresariales corporativos propios de la región (únicamente contribuciones españolas en detección tabular y recibos; [105], [111], [131]). El análisis de sensibilidad (excluyendo estudios con QA = 3.5) no modificó las 5 revistas líderes ni la posición hegemónica de China (31.4 % de los estudios filtrados; 38 de 121), confirmando la estabilidad del mapa cienciométrico.</w:t>
      </w:r>
    </w:p>
    <w:p>
      <w:pPr>
        <w:keepNext/>
        <w:spacing w:before="160" w:after="40"/>
        <w:jc w:val="left"/>
      </w:pPr>
      <w:r>
        <w:rPr>
          <w:rFonts w:ascii="Times New Roman" w:hAnsi="Times New Roman"/>
          <w:b/>
          <w:i/>
          <w:sz w:val="19"/>
        </w:rPr>
        <w:t>D. Clasificación de Diseños Metodológicos × Tipología de Datasets (PD3)</w:t>
      </w:r>
    </w:p>
    <w:p>
      <w:pPr>
        <w:spacing w:line="240" w:lineRule="auto" w:before="0" w:after="80"/>
        <w:jc w:val="both"/>
      </w:pPr>
      <w:r>
        <w:rPr>
          <w:rFonts w:ascii="Times New Roman" w:hAnsi="Times New Roman"/>
          <w:i w:val="0"/>
          <w:sz w:val="19"/>
        </w:rPr>
        <w:t>Para evaluar la solidez empírica y la transferibilidad industrial de las soluciones reportadas en el corpus, se clasificaron los 131 estudios primarios cruzando la taxonomía estandarizada de diseños de investigación frente a las fuentes de datos utilizadas (benchmarks públicos, privados corporativos o mixtos). La concordancia inter-evaluador de esta categorización se evaluó de forma ciega e independiente sobre una muestra del 20.6 % del corpus (n = 27 estudios seleccionados aleatoriamente), alcanzando un coeficiente Kappa de Cohen κ = 0.85 (acuerdo observado del 88.9 % frente a un azar esperado de 0.258; concordancia casi perfecta). La matriz de contingencia se reporta en la TABLA XVI y el gráfico de burbujas de Petersen et al. (2015) [138] se expone en la Fig. 4.</w:t>
      </w:r>
    </w:p>
    <w:p>
      <w:pPr>
        <w:keepNext/>
        <w:spacing w:before="140" w:after="20"/>
        <w:jc w:val="center"/>
      </w:pPr>
      <w:r>
        <w:rPr>
          <w:rFonts w:ascii="Times New Roman" w:hAnsi="Times New Roman"/>
          <w:b/>
          <w:sz w:val="16"/>
        </w:rPr>
        <w:t>TABLA XVI</w:t>
        <w:br/>
      </w:r>
      <w:r>
        <w:rPr>
          <w:rFonts w:ascii="Times New Roman" w:hAnsi="Times New Roman"/>
          <w:sz w:val="16"/>
        </w:rPr>
        <w:t>MATRIZ CRUZADA DE DISEÑOS METODOLÓGICOS Y TIPOLOGÍA DE DATASETS (PD3)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Diseño Metodológico de Investigación</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Benchmarks Públicos Abiertos</w:t>
            </w:r>
          </w:p>
        </w:tc>
        <w:tc>
          <w:tcPr>
            <w:tcW w:type="dxa" w:w="187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Datasets Corporativos Privados</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Datasets Híbridos / Mixtos</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Total por Diseño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 Relativo</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Experimental Controlado</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48 (36.6 %)</w:t>
              <w:br/>
              <w:t>[3]–[6], [8], [9], [12], [14], [15], [17], [19], [30]–[33], [35], [37], [39]–[42], [46]–[48], [50], [52], [57], [61], [67], [71]–[74], [76], [77], [80], [83], [86], [88]–[90], [92], [93], [96], [99], [104], [105], [108]</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18 (13.7 %)</w:t>
              <w:br/>
              <w:t>[7], [10], [11], [13], [20], [22], [28], [34], [36], [43]–[45], [49], [51], [55], [56], [81], [91]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16 (12.2 %)</w:t>
              <w:br/>
              <w:t>[16], [18], [21], [23]–[27], [29], [38], [60], [65], [66], [68], [78], [87]</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82</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62.6 %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Desarrollo de Artefacto / PoC</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14 (10.7 %)</w:t>
              <w:br/>
              <w:t>[63], [69], [79], [97], [100], [102], [106], [109]–[111], [113]–[116]</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11 (8.4 %)</w:t>
              <w:br/>
              <w:t>[54], [95], [98], [112], [118]–[124]</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6 (4.6 %)</w:t>
              <w:br/>
              <w:t>[58], [59], [125], [126], [129], [130]</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23.7 %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Cuasi-experimental</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(3.1 %)</w:t>
              <w:br/>
              <w:t>[85], [94], [101], [132]</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(3.1 %)</w:t>
              <w:br/>
              <w:t>[53], [82], [107], [133]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(1.5 %)</w:t>
              <w:br/>
              <w:t>[62], [128]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10</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7.6 %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Caso de Estudio Real Corporativo</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(1.5 %)</w:t>
              <w:br/>
              <w:t>[84], [103]</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 (3.8 %)</w:t>
              <w:br/>
              <w:t>[64], [70], [75], [117], [127]</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 (0.8 %)</w:t>
              <w:br/>
              <w:t>[131]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6.1 %</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por Tipología de Dataset</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68 (51.9 %)</w:t>
            </w:r>
          </w:p>
        </w:tc>
        <w:tc>
          <w:tcPr>
            <w:tcW w:type="dxa" w:w="187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38 (29.0 %)</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25 (19.1 %)</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131</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Fuente: elaboración propia a partir del corpus primario [3]–[133]. Medición de acuerdo inter-evaluador sobre muestra del 20.6 % (n = 27): Po = 88.9 %, Pe = 0.258, κ = 0.85 (casi perfecto). Partición matemática exacta de 12 celdas disjuntas.</w:t>
      </w:r>
    </w:p>
    <w:p>
      <w:pPr>
        <w:keepNext/>
        <w:spacing w:before="120" w:after="40"/>
        <w:jc w:val="center"/>
      </w:pPr>
      <w:r>
        <w:drawing>
          <wp:inline xmlns:a="http://schemas.openxmlformats.org/drawingml/2006/main" xmlns:pic="http://schemas.openxmlformats.org/drawingml/2006/picture">
            <wp:extent cx="3063240" cy="1687821"/>
            <wp:docPr id="4" name="Picture 4"/>
            <wp:cNvGraphicFramePr>
              <a:graphicFrameLocks noChangeAspect="1"/>
            </wp:cNvGraphicFramePr>
            <a:graphic>
              <a:graphicData uri="http://schemas.openxmlformats.org/drawingml/2006/picture">
                <pic:pic>
                  <pic:nvPicPr>
                    <pic:cNvPr id="0" name="fig4_burbujas_disenos_datasets.png"/>
                    <pic:cNvPicPr/>
                  </pic:nvPicPr>
                  <pic:blipFill>
                    <a:blip r:embed="rId12"/>
                    <a:stretch>
                      <a:fillRect/>
                    </a:stretch>
                  </pic:blipFill>
                  <pic:spPr>
                    <a:xfrm>
                      <a:off x="0" y="0"/>
                      <a:ext cx="3063240" cy="1687821"/>
                    </a:xfrm>
                    <a:prstGeom prst="rect"/>
                  </pic:spPr>
                </pic:pic>
              </a:graphicData>
            </a:graphic>
          </wp:inline>
        </w:drawing>
      </w:r>
    </w:p>
    <w:p>
      <w:pPr>
        <w:spacing w:before="40" w:after="120"/>
        <w:jc w:val="both"/>
      </w:pPr>
      <w:r>
        <w:rPr>
          <w:rFonts w:ascii="Times New Roman" w:hAnsi="Times New Roman"/>
          <w:b/>
          <w:sz w:val="17"/>
        </w:rPr>
        <w:t xml:space="preserve">Fig. 4. </w:t>
      </w:r>
      <w:r>
        <w:rPr>
          <w:rFonts w:ascii="Times New Roman" w:hAnsi="Times New Roman"/>
          <w:sz w:val="17"/>
        </w:rPr>
        <w:t xml:space="preserve">Gráfico de burbujas del mapeo sistemático (Petersen et al. [138]): Diseño Metodológico vs. Tipología de Dataset (PD3, N = 131). </w:t>
      </w:r>
      <w:r>
        <w:rPr>
          <w:rFonts w:ascii="Times New Roman" w:hAnsi="Times New Roman"/>
          <w:sz w:val="16"/>
        </w:rPr>
        <w:t xml:space="preserve">El área de cada burbuja es proporcional al número de estudios primarios (n); porcentajes sobre la totalidad del corpus.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PD3): </w:t>
      </w:r>
      <w:r>
        <w:rPr>
          <w:rFonts w:ascii="Times New Roman" w:hAnsi="Times New Roman"/>
          <w:i w:val="0"/>
          <w:sz w:val="19"/>
        </w:rPr>
        <w:t>Ciento treinta y un artículos (100.0 % del corpus; [3]–[133]) respondieron a la relación entre los diseños metodológicos de investigación y las tipologías de conjuntos de datos evaluados (PD3). Mediante la matriz de mapeo sistemático de Petersen et al. [138] y con un acuerdo inter-evaluador de κ = 0.85, se determinó un predominio estructural de experimentos controlados sobre bancos de datos públicos abiertos, en contraste con una baja proporción de casos de estudio reales integrados en producción corporativa (TABLA XVI, Fig. 4).</w:t>
      </w:r>
    </w:p>
    <w:p>
      <w:pPr>
        <w:spacing w:line="240" w:lineRule="auto" w:before="0" w:after="80"/>
        <w:jc w:val="both"/>
      </w:pPr>
      <w:r>
        <w:rPr>
          <w:rFonts w:ascii="Times New Roman" w:hAnsi="Times New Roman"/>
          <w:b/>
          <w:sz w:val="19"/>
        </w:rPr>
        <w:t xml:space="preserve">2) Desarrollo por Categoría y Cruce Matricial: </w:t>
      </w:r>
      <w:r>
        <w:rPr>
          <w:rFonts w:ascii="Times New Roman" w:hAnsi="Times New Roman"/>
          <w:i w:val="0"/>
          <w:sz w:val="19"/>
        </w:rPr>
        <w:t>La matriz cruzada evidencia tres núcleos de trabajo:</w:t>
        <w:br/>
        <w:t>a) Predominio del diseño experimental controlado: Ochenta y dos estudios (62.6 % del corpus; TABLA XVI) adoptaron un diseño experimental estricto con grupos o modelos baselines de control bajo condiciones reproducibles de laboratorio [3]–[6], [14], [28], [32], [67], [80], [92], de los cuales 48 estudios (36.6 % global) se apoyaron exclusivamente en benchmarks públicos (SROIE, FUNSD, CORD, DocBank).</w:t>
        <w:br/>
        <w:t>b) Desarrollo de artefactos y pruebas de concepto (PoC): Treinta y un estudios (23.7 %; [79], [95], [97], [100], [102], [112], [117]–[124]) se centraron en construir prototipos o arquitecturas especializadas validadas de forma acotada, donde 11 estudios (8.4 %) recurrieron a datos privados propietarios sin someter el artefacto a estrés de producción concurrente.</w:t>
        <w:br/>
        <w:t>c) Validación en conjuntos de datos corporativos y mixtos: Treinta y ocho estudios (29.0 %) fueron validados enteramente sobre datos privados corporativos y 25 estudios (19.1 %) aplicaron esquemas mixtos con ajuste fino y validación final sobre facturas y órdenes de compra de organizaciones ([16], [25], [38], [65], [66], [68]).</w:t>
      </w:r>
    </w:p>
    <w:p>
      <w:pPr>
        <w:spacing w:line="240" w:lineRule="auto" w:before="0" w:after="80"/>
        <w:jc w:val="both"/>
      </w:pPr>
      <w:r>
        <w:rPr>
          <w:rFonts w:ascii="Times New Roman" w:hAnsi="Times New Roman"/>
          <w:b/>
          <w:sz w:val="19"/>
        </w:rPr>
        <w:t xml:space="preserve">3) Contrastes y Vacíos en Casos de Estudio Reales: </w:t>
      </w:r>
      <w:r>
        <w:rPr>
          <w:rFonts w:ascii="Times New Roman" w:hAnsi="Times New Roman"/>
          <w:i w:val="0"/>
          <w:sz w:val="19"/>
        </w:rPr>
        <w:t>El contraste más crítico revelado por el mapeo sistemático reside en la extrema escasez de casos de estudio reales en producción corporativa, los cuales representan únicamente el 6.1 % del corpus (8 de 131 estudios; [64], [70], [75], [84], [103], [117], [127], [131]). A pesar de que la literatura reporta precisiones teóricas superiores al 95 % en benchmarks abiertos [3], [6], [7], [67], [80], los autores que implementaron soluciones dentro de entornos empresariales operativos enfrentaron barreras que no aparecen en las pruebas experimentales: restricciones de confidencialidad de datos bajo regulaciones de protección financiera [64], [116], necesidad de intervención humana en el bucle (Human-in-the-Loop) para mitigar alucinaciones de LLMs en montos contables [4], [13], [22] y complejas interfaces de integración con sistemas legados ERP [70], [127].</w:t>
      </w:r>
    </w:p>
    <w:p>
      <w:pPr>
        <w:spacing w:line="240" w:lineRule="auto" w:before="0" w:after="80"/>
        <w:jc w:val="both"/>
      </w:pPr>
      <w:r>
        <w:rPr>
          <w:rFonts w:ascii="Times New Roman" w:hAnsi="Times New Roman"/>
          <w:b/>
          <w:sz w:val="19"/>
        </w:rPr>
        <w:t xml:space="preserve">4) Cierre, Madurez y Sensibilidad: </w:t>
      </w:r>
      <w:r>
        <w:rPr>
          <w:rFonts w:ascii="Times New Roman" w:hAnsi="Times New Roman"/>
          <w:i w:val="0"/>
          <w:sz w:val="19"/>
        </w:rPr>
        <w:t>Existe una brecha de transferencia tecnológica: la comunidad científica ha priorizado el benchmarking sobre tres datasets públicos icónicos frente a la validación empírica en flujos empresariales vivos. Al excluir los 10 estudios del estrato inferior de calidad (QA = 3.5; [116]–[118], [121]–[123], [127], [128], [132], [133]), los experimentos controlados se consolidaron en el 65.3 % (79 de 121 estudios), ratificando que la evidencia técnica del área descansa sobre pruebas comparativas de laboratorio metodológicamente rigurosas.</w:t>
      </w:r>
    </w:p>
    <w:p>
      <w:pPr>
        <w:keepNext/>
        <w:spacing w:before="160" w:after="40"/>
        <w:jc w:val="left"/>
      </w:pPr>
      <w:r>
        <w:rPr>
          <w:rFonts w:ascii="Times New Roman" w:hAnsi="Times New Roman"/>
          <w:b/>
          <w:i/>
          <w:sz w:val="19"/>
        </w:rPr>
        <w:t>E. Evaluación de Calidad Metodológica (QA) e Integración al Análisis (Paso 6)</w:t>
      </w:r>
    </w:p>
    <w:p>
      <w:pPr>
        <w:spacing w:line="240" w:lineRule="auto" w:before="0" w:after="80"/>
        <w:jc w:val="both"/>
      </w:pPr>
      <w:r>
        <w:rPr>
          <w:rFonts w:ascii="Times New Roman" w:hAnsi="Times New Roman"/>
          <w:i w:val="0"/>
          <w:sz w:val="19"/>
        </w:rPr>
        <w:t>Para jerarquizar el grado de solidez empírica de la evidencia y preparar formalmente el insumo para el Análisis de Sensibilidad (Paso 8), se examinó la totalidad del corpus primario bajo el instrumento de cinco preguntas de calidad metodológica (QA1 a QA5) de Kitchenham &amp; Charters (2007) [1]. La doble evaluación ciega sobre la muestra del 20.6 % (n = 27 estudios) reportó un coeficiente Kappa ponderado cuadrático de Cohen κw = 0.89 (acuerdo sustancial casi perfecto para escalas ordinales). La estratificación de los puntajes y la tasa de cumplimiento por criterio se exponen en la TABLA XVII y la Fig. 5.</w:t>
      </w:r>
    </w:p>
    <w:p>
      <w:pPr>
        <w:keepNext/>
        <w:spacing w:before="140" w:after="20"/>
        <w:jc w:val="center"/>
      </w:pPr>
      <w:r>
        <w:rPr>
          <w:rFonts w:ascii="Times New Roman" w:hAnsi="Times New Roman"/>
          <w:b/>
          <w:sz w:val="16"/>
        </w:rPr>
        <w:t>TABLA XVII</w:t>
        <w:br/>
      </w:r>
      <w:r>
        <w:rPr>
          <w:rFonts w:ascii="Times New Roman" w:hAnsi="Times New Roman"/>
          <w:sz w:val="16"/>
        </w:rPr>
        <w:t>ESTRATIFICACIÓN DE CALIDAD METODOLÓGICA (QA) Y ANÁLISIS DE CUMPLIMIENTO POR CRITERIO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Nivel de Calidad Metodológica</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Rango de Puntaje (Máx. 5.0)</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en Corpus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Frecuencia Relativa (%)</w:t>
            </w:r>
          </w:p>
        </w:tc>
        <w:tc>
          <w:tcPr>
            <w:tcW w:type="dxa" w:w="20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Función Metodológica en la Síntesis</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Alta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4.5 – 5.0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108</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82.4 %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Núcleo empírico robusto para extracción y síntesis temática (PI1–PI4). Incluye los 4 estudios nucleares paradigmáticos con puntaje perfecto de 5.0 / 5.0 ([3], [4], [5], [6]).</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Media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4.0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9.9 %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Estudios que satisfacen el protocolo con cumplimientos parciales menores; retenidos en el análisis de sensibilidad.</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Moderada / Estrato Inferior*</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3.5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7.6 %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Grupo de exclusión temporal en el Análisis de Sensibilidad (Paso 8): [116], [117], [118], [121], [122], [123], [127], [128], [132], [133].</w:t>
            </w:r>
          </w:p>
        </w:tc>
      </w:tr>
      <w:tr>
        <w:trPr>
          <w:cantSplit/>
        </w:trPr>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Corpus Primario</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Media = 4.61 / 5.00</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131</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c>
          <w:tcPr>
            <w:tcW w:type="dxa" w:w="208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Mínimo registrado: 3.50 pts; Máximo: 5.00 pts; Desviación estándar: ±0.41 pts.</w:t>
            </w:r>
          </w:p>
        </w:tc>
      </w:tr>
    </w:tbl>
    <w:p>
      <w:pPr>
        <w:spacing w:before="40" w:after="120"/>
        <w:jc w:val="left"/>
      </w:pPr>
      <w:r>
        <w:rPr>
          <w:rFonts w:ascii="Times New Roman" w:hAnsi="Times New Roman"/>
          <w:i/>
          <w:sz w:val="16"/>
        </w:rPr>
        <w:t>* Nota: El estrato de 3.5 pts conforma la submuestra de prueba para el análisis de robustez de hallazgos. Ningún estudio incluido obtuvo calificación menor a 3.5 pts. Fuente: elaboración propia a partir del corpus primario [3]–[133].</w:t>
      </w:r>
    </w:p>
    <w:p>
      <w:pPr>
        <w:keepNext/>
        <w:spacing w:before="140" w:after="20"/>
        <w:jc w:val="center"/>
      </w:pPr>
      <w:r>
        <w:rPr>
          <w:rFonts w:ascii="Times New Roman" w:hAnsi="Times New Roman"/>
          <w:b/>
          <w:sz w:val="16"/>
        </w:rPr>
        <w:t>TABLA XVII (CONTINUACIÓN)</w:t>
        <w:br/>
      </w:r>
      <w:r>
        <w:rPr>
          <w:rFonts w:ascii="Times New Roman" w:hAnsi="Times New Roman"/>
          <w:sz w:val="16"/>
        </w:rPr>
        <w:t>ANÁLISIS DESAGREGADO DE CUMPLIMIENTO POR PREGUNTA QA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Criterio QA Evaluado</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Cumplimiento Total (1.0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Cumplimiento Parcial (0.5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Incumplimiento (0.0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Media por Criterio (sobre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QA1 (Objetivos y tipología documental definida)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131 (100.0 %)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1.000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QA2 (Detalle del dataset, volumen y particiones)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125 (95.4 %)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 (4.6 %)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0.977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QA3 (Arquitectura reproducible y código documentado)</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99 (75.6 %)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32 (24.4 %)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0.878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QA4 (Métricas cuantitativas formales reproducibles)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108 (82.4 %)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23 (17.6 %)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0.912 / 1.0</w:t>
            </w:r>
          </w:p>
        </w:tc>
      </w:tr>
      <w:tr>
        <w:trPr>
          <w:cantSplit/>
        </w:trPr>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QA5 (Contraste empírico vs baselines / tradicional)</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89 (67.9 %)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42 (32.1 %)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0.840 / 1.0</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542111"/>
            <wp:docPr id="5" name="Picture 5"/>
            <wp:cNvGraphicFramePr>
              <a:graphicFrameLocks noChangeAspect="1"/>
            </wp:cNvGraphicFramePr>
            <a:graphic>
              <a:graphicData uri="http://schemas.openxmlformats.org/drawingml/2006/picture">
                <pic:pic>
                  <pic:nvPicPr>
                    <pic:cNvPr id="0" name="fig5_distribucion_qa_criterios.png"/>
                    <pic:cNvPicPr/>
                  </pic:nvPicPr>
                  <pic:blipFill>
                    <a:blip r:embed="rId13"/>
                    <a:stretch>
                      <a:fillRect/>
                    </a:stretch>
                  </pic:blipFill>
                  <pic:spPr>
                    <a:xfrm>
                      <a:off x="0" y="0"/>
                      <a:ext cx="3063240" cy="1542111"/>
                    </a:xfrm>
                    <a:prstGeom prst="rect"/>
                  </pic:spPr>
                </pic:pic>
              </a:graphicData>
            </a:graphic>
          </wp:inline>
        </w:drawing>
      </w:r>
    </w:p>
    <w:p>
      <w:pPr>
        <w:spacing w:before="40" w:after="120"/>
        <w:jc w:val="both"/>
      </w:pPr>
      <w:r>
        <w:rPr>
          <w:rFonts w:ascii="Times New Roman" w:hAnsi="Times New Roman"/>
          <w:b/>
          <w:sz w:val="17"/>
        </w:rPr>
        <w:t xml:space="preserve">Fig. 5. </w:t>
      </w:r>
      <w:r>
        <w:rPr>
          <w:rFonts w:ascii="Times New Roman" w:hAnsi="Times New Roman"/>
          <w:sz w:val="17"/>
        </w:rPr>
        <w:t xml:space="preserve">Evaluación de Calidad Metodológica (Kitchenham &amp; Charters [1]) y vulnerabilidad por criterio (N = 131). </w:t>
      </w:r>
      <w:r>
        <w:rPr>
          <w:rFonts w:ascii="Times New Roman" w:hAnsi="Times New Roman"/>
          <w:sz w:val="16"/>
        </w:rPr>
        <w:t xml:space="preserve">(a) Estratificación de estudios según calidad; (b) Desglose de cumplimiento total vs. parcial en QA1–QA5.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Hallazgos del Control de Calidad y Protocolo de Aislamiento: </w:t>
      </w:r>
      <w:r>
        <w:rPr>
          <w:rFonts w:ascii="Times New Roman" w:hAnsi="Times New Roman"/>
          <w:i w:val="0"/>
          <w:sz w:val="19"/>
        </w:rPr>
        <w:t>La calidad metodológica global del corpus es sobresaliente (media = 4.61 / 5.00 pts; 82.4 % en calidad alta). Los criterios QA1 (1.000) y QA2 (0.977) exhibieron cumplimiento prácticamente óptimo en la totalidad de artículos. Por el contrario, la mayor debilidad empírica residió en el criterio QA5 (contraste empírico explícito frente a líneas base tradicionales), con 42 estudios que obtuvieron puntaje parcial (32.1 %; media 0.840), seguido de QA3 (especificación de hiperparámetros y reproducibilidad) con 32 cumplimientos parciales (24.4 %; media 0.878). Los 10 estudios calificados con QA = 3.50 puntos ([116], [117], [118], [121], [122], [123], [127], [128], [132], [133]) conforman el grupo aislado para el test de robustez.</w:t>
      </w:r>
    </w:p>
    <w:p>
      <w:pPr>
        <w:keepNext/>
        <w:spacing w:before="160" w:after="40"/>
        <w:jc w:val="left"/>
      </w:pPr>
      <w:r>
        <w:rPr>
          <w:rFonts w:ascii="Times New Roman" w:hAnsi="Times New Roman"/>
          <w:b/>
          <w:i/>
          <w:sz w:val="19"/>
        </w:rPr>
        <w:t>F. Taxonomía de Familias Algorítmicas y Enfoques de IA (PI1)</w:t>
      </w:r>
    </w:p>
    <w:p>
      <w:pPr>
        <w:spacing w:line="240" w:lineRule="auto" w:before="0" w:after="80"/>
        <w:jc w:val="both"/>
      </w:pPr>
      <w:r>
        <w:rPr>
          <w:rFonts w:ascii="Times New Roman" w:hAnsi="Times New Roman"/>
          <w:i w:val="0"/>
          <w:sz w:val="19"/>
        </w:rPr>
        <w:t>Para determinar cuáles son las familias algorítmicas y arquitecturas neuronales predominantes en la literatura entre 2020 y 2025/2026, se ejecutó una síntesis temática (Thomas &amp; Harden [134]; Cruzes &amp; Dybå [135]) sobre los 105 estudios primarios que abordan explícitamente el modelado de IA para procesamiento de documentos de negocio (80.2 % del corpus). La asignación taxonómica ciega e independiente sobre la muestra aleatoria del 20.6 % (n = 27 estudios) reportó un coeficiente Kappa de Cohen κ = 0.88 (Po = 92.6 %, Pe = 0.380), evidenciando una concordancia inter-evaluador casi perfecta bajo las directrices del Checklist 9.2.F. Los hallazgos cuantitativos se resumen en la TABLA XVIII y se ilustran en la Fig. 6.</w:t>
      </w:r>
    </w:p>
    <w:p>
      <w:pPr>
        <w:keepNext/>
        <w:spacing w:before="140" w:after="20"/>
        <w:jc w:val="center"/>
      </w:pPr>
      <w:r>
        <w:rPr>
          <w:rFonts w:ascii="Times New Roman" w:hAnsi="Times New Roman"/>
          <w:b/>
          <w:sz w:val="16"/>
        </w:rPr>
        <w:t>TABLA XVIII</w:t>
        <w:br/>
      </w:r>
      <w:r>
        <w:rPr>
          <w:rFonts w:ascii="Times New Roman" w:hAnsi="Times New Roman"/>
          <w:sz w:val="16"/>
        </w:rPr>
        <w:t>TAXONOMÍA DE FAMILIAS ALGORÍTMICAS Y ENFOQUES DE INTELIGENCIA ARTIFICIAL (PI1) (N = 105)</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Familia Algorítmica / Enfoque IA</w:t>
            </w:r>
          </w:p>
        </w:tc>
        <w:tc>
          <w:tcPr>
            <w:tcW w:type="dxa" w:w="136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Descripción Técnica Estandarizada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Estudios Primarios Asignados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Híbridos CNN-RNN y Segmentación Clásica con OCR</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convolucionales (ResNet, VGG, YOLO, Mask R-CNN) combinados con recurrentes (LSTM) y motores OCR para detección de regiones y tablas.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 [10]–[12], [14]–[16], [20], [23], [28], [31]–[33], [35], [39], [45], [48], [49], [53]–[55], [57]–[62], [67]–[73], [78], [83]–[85], [88], [91], [93], [95], [98]–[100], [103], [104], [106], [108]–[111], [117], [118], [122], [124]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53.3 %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Transformers Multimodales y Modelos Visión-Lenguaje (VLM)</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Modelado conjunto de texto, coordenadas espaciales 2D (bounding boxes) y parches visuales (LayoutLMv2/v3, StrucTexT, BROS, Bi-VLDoc).</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 [7], [9], [13], [18], [21], [26], [30], [36], [38], [42], [43], [47], [50], [56], [74], [76], [77], [90], [92], [96], [114]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21.0 %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Redes Neuronales de Grafos y Modelado Espacial-Relacional (GNN)</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Representación de palabras/bloques como nodos y relaciones espaciales/semánticas relativas como aristas (GCN, GAT, GraphIE).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[8], [29], [34], [40], [41], [44], [46], [51], [52], [63], [64], [66], [75], [105], [107], [123]</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15.2 %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Generativos, LLMs y Adaptación Zero/Few-Shot</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fundacionales autorregresivos aplicados con prompt engineering, in-context learning o fine-tuning para extracción estructurada JSON.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[3], [4], [17], [19], [22], [24], [25], [27], [37], [65], [82]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11</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10.5 %</w:t>
            </w:r>
          </w:p>
        </w:tc>
      </w:tr>
      <w:tr>
        <w:trPr>
          <w:cantSplit/>
        </w:trPr>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Cobertura PI1</w:t>
            </w:r>
          </w:p>
        </w:tc>
        <w:tc>
          <w:tcPr>
            <w:tcW w:type="dxa" w:w="136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Subconjunto verificado de estudios con PI1 = 1</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[3]–[124] (105 estudios únicos)</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105</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r>
    </w:tbl>
    <w:p>
      <w:pPr>
        <w:spacing w:before="40" w:after="120"/>
        <w:jc w:val="left"/>
      </w:pPr>
      <w:r>
        <w:rPr>
          <w:rFonts w:ascii="Times New Roman" w:hAnsi="Times New Roman"/>
          <w:i/>
          <w:sz w:val="16"/>
        </w:rPr>
        <w:t>Fuente: elaboración propia a partir del corpus primario [3]–[133]. Partición temática unívoca auditada y verificada.</w:t>
      </w:r>
    </w:p>
    <w:p>
      <w:pPr>
        <w:keepNext/>
        <w:spacing w:before="120" w:after="40"/>
        <w:jc w:val="center"/>
      </w:pPr>
      <w:r>
        <w:drawing>
          <wp:inline xmlns:a="http://schemas.openxmlformats.org/drawingml/2006/main" xmlns:pic="http://schemas.openxmlformats.org/drawingml/2006/picture">
            <wp:extent cx="3063240" cy="1310561"/>
            <wp:docPr id="6" name="Picture 6"/>
            <wp:cNvGraphicFramePr>
              <a:graphicFrameLocks noChangeAspect="1"/>
            </wp:cNvGraphicFramePr>
            <a:graphic>
              <a:graphicData uri="http://schemas.openxmlformats.org/drawingml/2006/picture">
                <pic:pic>
                  <pic:nvPicPr>
                    <pic:cNvPr id="0" name="fig6_taxonomia_algoritmos.png"/>
                    <pic:cNvPicPr/>
                  </pic:nvPicPr>
                  <pic:blipFill>
                    <a:blip r:embed="rId14"/>
                    <a:stretch>
                      <a:fillRect/>
                    </a:stretch>
                  </pic:blipFill>
                  <pic:spPr>
                    <a:xfrm>
                      <a:off x="0" y="0"/>
                      <a:ext cx="3063240" cy="1310561"/>
                    </a:xfrm>
                    <a:prstGeom prst="rect"/>
                  </pic:spPr>
                </pic:pic>
              </a:graphicData>
            </a:graphic>
          </wp:inline>
        </w:drawing>
      </w:r>
    </w:p>
    <w:p>
      <w:pPr>
        <w:spacing w:before="40" w:after="120"/>
        <w:jc w:val="both"/>
      </w:pPr>
      <w:r>
        <w:rPr>
          <w:rFonts w:ascii="Times New Roman" w:hAnsi="Times New Roman"/>
          <w:b/>
          <w:sz w:val="17"/>
        </w:rPr>
        <w:t xml:space="preserve">Fig. 6. </w:t>
      </w:r>
      <w:r>
        <w:rPr>
          <w:rFonts w:ascii="Times New Roman" w:hAnsi="Times New Roman"/>
          <w:sz w:val="17"/>
        </w:rPr>
        <w:t xml:space="preserve">Taxonomía de Familias Algorítmicas de IA en Procesamiento Documental (PI1, n = 105). </w:t>
      </w:r>
      <w:r>
        <w:rPr>
          <w:rFonts w:ascii="Times New Roman" w:hAnsi="Times New Roman"/>
          <w:sz w:val="16"/>
        </w:rPr>
        <w:t xml:space="preserve">Frecuencia absoluta y porcentaje relativo derivado de síntesis temática [134], [135].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PI1): </w:t>
      </w:r>
      <w:r>
        <w:rPr>
          <w:rFonts w:ascii="Times New Roman" w:hAnsi="Times New Roman"/>
          <w:i w:val="0"/>
          <w:sz w:val="19"/>
        </w:rPr>
        <w:t>Ciento cinco estudios primarios (80.2 % del corpus; TABLA XVIII, Fig. 6) respondieron a la identificación y taxonomía de las arquitecturas de IA aplicadas al procesamiento de documentos corporativos (PI1). Mediante síntesis temática estandarizada (Thomas &amp; Harden [134]; Cruzes &amp; Dybå [135]) y con un coeficiente de concordancia inter-evaluador de κ = 0.88 sobre la submuestra del 20.6 % (n = 27), se identificaron cuatro familias algorítmicas mutuamente excluyentes, observándose un predominio de pipelines modulares basados en convolución y OCR neuronal, acompañados por una rápida consolidación de Transformers multimodales y modelos de visión-lenguaje (VLM).</w:t>
      </w:r>
    </w:p>
    <w:p>
      <w:pPr>
        <w:spacing w:line="240" w:lineRule="auto" w:before="0" w:after="80"/>
        <w:jc w:val="both"/>
      </w:pPr>
      <w:r>
        <w:rPr>
          <w:rFonts w:ascii="Times New Roman" w:hAnsi="Times New Roman"/>
          <w:b/>
          <w:sz w:val="19"/>
        </w:rPr>
        <w:t xml:space="preserve">2.1. Pipelines Híbridos CNN-RNN y Segmentación Clásica con OCR: </w:t>
      </w:r>
      <w:r>
        <w:rPr>
          <w:rFonts w:ascii="Times New Roman" w:hAnsi="Times New Roman"/>
          <w:i w:val="0"/>
          <w:sz w:val="19"/>
        </w:rPr>
        <w:t>Esta arquitectura comprende la articulación secuencial de redes neuronales convolucionales (ResNet, VGG, YOLO, Mask R-CNN) para la detección de regiones y tablas, combinadas con capas recurrentes (LSTM) y motores de reconocimiento óptico de caracteres para la extracción de texto en documentos estructurados. La familia agrupa a cincuenta y seis estudios primarios (53.3 % del subconjunto de PI1; [5], [10]–[12], [14]–[16], [20], [23], [28], [31]–[33], [35], [39], [45], [48], [49], [53]–[55], [57]–[62], [67]–[73], [78], [83]–[85], [88], [91], [93], [95], [98]–[100], [103], [104], [106], [108]–[111], [117], [118], [122], [124]). Las investigaciones convergen en que la modularización por etapas permite desacoplar la detección geométrica de tablas de la transcripción textual, facilitando la depuración y auditoría interna en entornos productivos locales [10], [15], [33], [54], [67], [84], [104]. Cuantitativamente, estos pipelines alcanzan latencias de inferencia de 80 ms a 250 ms en CPUs estándar con exactitudes de segmentación entre el 88.5 % y el 96.0 % en documentos de plantilla predecible. El 85.7 % de los estudios (48 de 56) ostenta calidad metodológica alta (QA &gt;= 4.5), confiriendo al hallazgo un dictamen de Alta Certeza bajo el marco GRADE-CERQual.</w:t>
      </w:r>
    </w:p>
    <w:p>
      <w:pPr>
        <w:spacing w:line="240" w:lineRule="auto" w:before="0" w:after="80"/>
        <w:jc w:val="both"/>
      </w:pPr>
      <w:r>
        <w:rPr>
          <w:rFonts w:ascii="Times New Roman" w:hAnsi="Times New Roman"/>
          <w:b/>
          <w:sz w:val="19"/>
        </w:rPr>
        <w:t xml:space="preserve">2.2. Transformers Multimodales y Modelos Visión-Lenguaje (VLM): </w:t>
      </w:r>
      <w:r>
        <w:rPr>
          <w:rFonts w:ascii="Times New Roman" w:hAnsi="Times New Roman"/>
          <w:i w:val="0"/>
          <w:sz w:val="19"/>
        </w:rPr>
        <w:t>Esta familia integra arquitecturas de atención profunda autorregresiva y bidireccional que fusionan simultáneamente la información textual, la disposición geométrica espacial 2D (bounding boxes) y los parches visuales del documento dentro de un espacio latente unificado (LayoutLMv2/v3, StrucTexT, BROS, Bi-VLDoc). Reúne veintidós estudios primarios (21.0 % de PI1; [6], [7], [9], [13], [18], [21], [26], [30], [36], [38], [42], [43], [47], [50], [56], [74], [76], [77], [90], [92], [96], [114]). Los autores demuestran consistentemente que la incorporación del contexto visual y espacial permite resolver la extracción de entidades clave (KIE) en comprobantes fiscales con diagramación variable sin requerir plantillas fijas [6], [13], [36], [42], [76], [92]. En términos cuantitativos, reportan puntuaciones de F1-score entre el 92.4 % y el 98.7 % en datasets estándar como SROIE y CORD. El 100.0 % de las publicaciones (22 de 22) se ubica en el estrato de calidad metodológica alta (QA &gt;= 4.5), respaldando un dictamen de Alta Certeza GRADE-CERQual para el modelado de documentos semiestructurados complejos.</w:t>
      </w:r>
    </w:p>
    <w:p>
      <w:pPr>
        <w:spacing w:line="240" w:lineRule="auto" w:before="0" w:after="80"/>
        <w:jc w:val="both"/>
      </w:pPr>
      <w:r>
        <w:rPr>
          <w:rFonts w:ascii="Times New Roman" w:hAnsi="Times New Roman"/>
          <w:b/>
          <w:sz w:val="19"/>
        </w:rPr>
        <w:t xml:space="preserve">2.3. Redes Neuronales de Grafos y Modelado Espacial-Relacional (GNN): </w:t>
      </w:r>
      <w:r>
        <w:rPr>
          <w:rFonts w:ascii="Times New Roman" w:hAnsi="Times New Roman"/>
          <w:i w:val="0"/>
          <w:sz w:val="19"/>
        </w:rPr>
        <w:t>Este paradigma representa los fragmentos y palabras del documento como nodos dentro de un grafo planar no dirigido o dirigido, cuyas aristas codifican relaciones de adyacencia espacial, distancias euclidianas y dependencias semánticas relativas (GCN, GAT, GraphIE). Comprende dieciséis estudios primarios (15.2 % de PI1; [8], [29], [34], [40], [41], [44], [46], [51], [52], [63], [64], [66], [75], [105], [107], [123]). La literatura coincide en que las redes de grafos capturan de forma sobresaliente el flujo de lectura no lineal y la estructura reticular de facturas abiertas y recibos deformados [8], [34], [40], [51], [64], [105]. En las evaluaciones numéricas exhiben precisiones de emparejamiento clave-valor de 88.0 % a 95.8 % con una reducción de hasta el 40 % en parámetros entrenables frente a transformadores masivos. El 93.8 % de los estudios (15 de 16) pertenece al rango de calidad metodológica alta (QA &gt;= 4.5), alcanzando una calificación de Alta Certeza GRADE-CERQual en la estructuración de tablas financieras complejas.</w:t>
      </w:r>
    </w:p>
    <w:p>
      <w:pPr>
        <w:spacing w:line="240" w:lineRule="auto" w:before="0" w:after="80"/>
        <w:jc w:val="both"/>
      </w:pPr>
      <w:r>
        <w:rPr>
          <w:rFonts w:ascii="Times New Roman" w:hAnsi="Times New Roman"/>
          <w:b/>
          <w:sz w:val="19"/>
        </w:rPr>
        <w:t xml:space="preserve">2.4. Modelos de Lenguaje Generativos, LLMs y Adaptación Zero/Few-Shot: </w:t>
      </w:r>
      <w:r>
        <w:rPr>
          <w:rFonts w:ascii="Times New Roman" w:hAnsi="Times New Roman"/>
          <w:i w:val="0"/>
          <w:sz w:val="19"/>
        </w:rPr>
        <w:t>Esta categoría abarca el empleo de modelos fundacionales de lenguaje de gran escala (LLMs) y modelos generativos multimodales operados mediante técnicas de ingeniería de prompts, aprendizaje en contexto (in-context learning) y ajuste fino para la extracción y estructuración directa de documentos en esquemas JSON o XML. Concentra once estudios primarios (10.5 % de PI1; [3], [4], [17], [19], [22], [24], [25], [27], [37], [65], [82]). Los estudios evidencian una capacidad sin precedentes para procesar documentos nunca antes vistos sin entrenamiento previo, extrayendo campos implícitos mediante inferencia semántica contextual [3], [4], [19], [22], [27], [82]. Los resultados cuantitativos revelan precisiones de extracción entre el 85.0 % y el 94.2 % en esquemas zero-shot, aunque con tiempos de respuesta que oscilan entre 800 ms y 2500 ms por página. El 100.0 % de los artículos (11 de 11) exhibe calidad metodológica alta (QA &gt;= 4.5), si bien la certeza bajo el marco GRADE-CERQual se dictamina como Moderada debido a la dependencia de conectividad externa a APIs propietarias y el costo computacional asociado.</w:t>
      </w:r>
    </w:p>
    <w:p>
      <w:pPr>
        <w:spacing w:line="240" w:lineRule="auto" w:before="0" w:after="80"/>
        <w:jc w:val="both"/>
      </w:pPr>
      <w:r>
        <w:rPr>
          <w:rFonts w:ascii="Times New Roman" w:hAnsi="Times New Roman"/>
          <w:b/>
          <w:sz w:val="19"/>
        </w:rPr>
        <w:t xml:space="preserve">3) Contrastes y Debates de Rendimiento: </w:t>
      </w:r>
      <w:r>
        <w:rPr>
          <w:rFonts w:ascii="Times New Roman" w:hAnsi="Times New Roman"/>
          <w:i w:val="0"/>
          <w:sz w:val="19"/>
        </w:rPr>
        <w:t>Se constata una controversia técnica estructural entre tres posturas documentadas directamente en la literatura:</w:t>
        <w:br/>
        <w:t>a) Eficiencia computacional y bajo costo en CPU local: Diversas investigaciones sostienen que los pipelines modulares basados en convolución y OCR representan la alternativa más viable para infraestructuras locales convencionales, logrando latencias ultra bajas (&lt;150 ms) y ejecutándose íntegramente en CPUs sin riesgo de fuga de datos hacia servicios en la nube [12], [54], [71], [88] (Iqbal et al. [12]; Kim C.-Y. et al. [54]; Lee E. et al. [71]; Kiatphaisansophon et al. [88]).</w:t>
        <w:br/>
        <w:t>b) Flexibilidad y adaptabilidad mediante modelos de visión-lenguaje: Por el contrario, un conjunto representativo de estudios argumenta que los esquemas rígidos colapsan ante cualquier cambio imprevisto de diagramación, justificando el costo de aceleración por GPU que demandan los Transformers multimodales y VLMs debido a su capacidad intrínseca de generalización zero-shot [3], [6], [9], [13], [22] (Wei et al. [3]; Mifsud et al. [6]; Luo C. et al. [9]; Wang Y. et al. [13]; Tanasa &amp; Oprea [22]).</w:t>
        <w:br/>
        <w:t>c) Riesgos de alucinación semántica y costos de inferencia en LLMs: En una postura de contraste crítico, diversas evaluaciones advierten que la inferencia puramente autorregresiva de los LLMs introduce una vulnerabilidad latente de alucinación numérica en montos contables y códigos fiscales, requiriendo validadores sintácticos adicionales que incrementan la latencia total del flujo de procesamiento [17], [27], [37] (Abdalla et al. [17]; Lin Y.M. et al. [27]; Chen Z. et al. [37]).</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literatura transita hacia una convergencia híbrida: modelos ligeros de visión-lenguaje desacoplados (Lightweight VLMs) combinados con verificadores basados en reglas. Al excluir del análisis los 4 estudios con QA = 3.5 que integran PI1 ([117], [118], [122], [123]), los pipelines híbridos CNN-RNN pasaron de 56 (53.3 %) a 53 de 101 estudios (52.5 %, variación de -0.8 %), los Transformers/VLMs se situaron en 22 de 101 (21.8 %, variación de +0.8 %), las redes GNN en 15 de 101 (14.9 %, variación de -0.3 %) y los LLMs en 11 de 101 (10.9 %, variación de +0.4 %), demostrando que la jerarquía taxonómica de las cuatro familias algorítmicas se mantiene enteramente inalterada y libre de sesgos de agregación.</w:t>
      </w:r>
    </w:p>
    <w:p>
      <w:pPr>
        <w:keepNext/>
        <w:spacing w:before="160" w:after="40"/>
        <w:jc w:val="left"/>
      </w:pPr>
      <w:r>
        <w:rPr>
          <w:rFonts w:ascii="Times New Roman" w:hAnsi="Times New Roman"/>
          <w:b/>
          <w:i/>
          <w:sz w:val="19"/>
        </w:rPr>
        <w:t>G. Rendimiento Cuantitativo de las Soluciones IA en Benchmarks (PI2)</w:t>
      </w:r>
    </w:p>
    <w:p>
      <w:pPr>
        <w:spacing w:line="240" w:lineRule="auto" w:before="0" w:after="80"/>
        <w:jc w:val="both"/>
      </w:pPr>
      <w:r>
        <w:rPr>
          <w:rFonts w:ascii="Times New Roman" w:hAnsi="Times New Roman"/>
          <w:i w:val="0"/>
          <w:sz w:val="19"/>
        </w:rPr>
        <w:t>Para cuantificar el rendimiento técnico alcanzado por las soluciones de IA, se aplicó la síntesis narrativa estructurada de Popay et al. (2006) [136] sobre los 117 estudios que reportan métricas numéricas formales (89.3 % del corpus). Para salvaguardar la validez metodológica, no se promediaron métricas entre conjuntos de datos incompatibles, tabulando rangos empíricos [mín, máx] y medianas por benchmark estándar en la TABLA XIX y visualizándolos en la Fig. 7.</w:t>
      </w:r>
    </w:p>
    <w:p>
      <w:pPr>
        <w:keepNext/>
        <w:spacing w:before="140" w:after="20"/>
        <w:jc w:val="center"/>
      </w:pPr>
      <w:r>
        <w:rPr>
          <w:rFonts w:ascii="Times New Roman" w:hAnsi="Times New Roman"/>
          <w:b/>
          <w:sz w:val="16"/>
        </w:rPr>
        <w:t>TABLA XIX</w:t>
        <w:br/>
      </w:r>
      <w:r>
        <w:rPr>
          <w:rFonts w:ascii="Times New Roman" w:hAnsi="Times New Roman"/>
          <w:sz w:val="16"/>
        </w:rPr>
        <w:t>RENDIMIENTO CUANTITATIVO REPORTADO POR BENCHMARKS ESTÁNDAR Y TIPOLOGÍA DE DATOS (PI2) (N = 117)</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Benchmark / Tipología de Datos</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Dimensión Documental</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Estudios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Métrica</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Rango [mín, máx]</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Mediana</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Latencia Inferencia</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SROIE / CORD / Recibos Comerciales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Extracción de claves en recibos y facturas (Company, Date, Address, Total).</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48 estudios</w:t>
              <w:br/>
              <w:t>[4], [6], [7], [9], [15], [17], [20], [24], [28], [30], [34], [36]–[40], [43], [44], [49], [55], [57], [60], [64], [69], [72], [74], [75], [79], [82]–[84], [86], [88]–[91], [96], [97], [99], [100], [102], [107]–[109], [112], [115], [119], [129]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F1-score</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86.4 % – 98.7 %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95.2 %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80 ms – 450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FinTabNet / WTW / Tablas Financieras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Reconocimiento de estructura tabular (TSR), detección de celdas y filas anidadas.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42 estudios</w:t>
              <w:br/>
              <w:t>[3], [5], [8], [10]–[13], [16], [19], [25], [27], [31], [33], [35], [41], [45]–[48], [50]–[52], [54], [59], [61], [62], [65], [66], [71], [81], [87], [95], [101], [104]–[106], [113], [120], [125], [126], [130], [131]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TEDS / F1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76.5 % – 96.2 %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89.8 %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150 ms – 890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FUNSD / Formularios Ruidosos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Comprensión de formularios administrativos con ruido visual y sellos superpuestos.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21 estudios</w:t>
              <w:br/>
              <w:t>[14], [18], [21]–[23], [26], [29], [42], [53], [56], [58], [63], [67], [68], [70], [73], [77], [80], [92], [94], [114]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F1-score</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72.1 % – 93.8 %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84.5 %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120 ms – 680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Flujos Corporativos Integrados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Validación sobre lotes continuos de documentos heterogéneos mixtos.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6 estudios</w:t>
              <w:br/>
              <w:t>[32], [78], [85], [93], [110], [111]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Exactitud / F1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82.0 % – 94.5 %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90.1 %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300 ms – 1800 ms</w:t>
            </w:r>
          </w:p>
        </w:tc>
      </w:tr>
      <w:tr>
        <w:trPr>
          <w:cantSplit/>
        </w:trPr>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Total Cobertura PI2</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Subconjunto verificado de estudios con PI2 = 1</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[3]–[131] (117 estudios únicos)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72.1 % – 98.7 %</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r>
    </w:tbl>
    <w:p>
      <w:pPr>
        <w:spacing w:before="40" w:after="120"/>
        <w:jc w:val="left"/>
      </w:pPr>
      <w:r>
        <w:rPr>
          <w:rFonts w:ascii="Times New Roman" w:hAnsi="Times New Roman"/>
          <w:i/>
          <w:sz w:val="16"/>
        </w:rPr>
        <w:t>Fuente: elaboración propia a partir del corpus primario [3]–[133]. Síntesis estructurada Popay et al. [136].</w:t>
      </w:r>
    </w:p>
    <w:p>
      <w:pPr>
        <w:keepNext/>
        <w:spacing w:before="120" w:after="40"/>
        <w:jc w:val="center"/>
      </w:pPr>
      <w:r>
        <w:drawing>
          <wp:inline xmlns:a="http://schemas.openxmlformats.org/drawingml/2006/main" xmlns:pic="http://schemas.openxmlformats.org/drawingml/2006/picture">
            <wp:extent cx="3063240" cy="1431986"/>
            <wp:docPr id="7" name="Picture 7"/>
            <wp:cNvGraphicFramePr>
              <a:graphicFrameLocks noChangeAspect="1"/>
            </wp:cNvGraphicFramePr>
            <a:graphic>
              <a:graphicData uri="http://schemas.openxmlformats.org/drawingml/2006/picture">
                <pic:pic>
                  <pic:nvPicPr>
                    <pic:cNvPr id="0" name="fig7_rendimiento_benchmarks.png"/>
                    <pic:cNvPicPr/>
                  </pic:nvPicPr>
                  <pic:blipFill>
                    <a:blip r:embed="rId15"/>
                    <a:stretch>
                      <a:fillRect/>
                    </a:stretch>
                  </pic:blipFill>
                  <pic:spPr>
                    <a:xfrm>
                      <a:off x="0" y="0"/>
                      <a:ext cx="3063240" cy="1431986"/>
                    </a:xfrm>
                    <a:prstGeom prst="rect"/>
                  </pic:spPr>
                </pic:pic>
              </a:graphicData>
            </a:graphic>
          </wp:inline>
        </w:drawing>
      </w:r>
    </w:p>
    <w:p>
      <w:pPr>
        <w:spacing w:before="40" w:after="120"/>
        <w:jc w:val="both"/>
      </w:pPr>
      <w:r>
        <w:rPr>
          <w:rFonts w:ascii="Times New Roman" w:hAnsi="Times New Roman"/>
          <w:b/>
          <w:sz w:val="17"/>
        </w:rPr>
        <w:t xml:space="preserve">Fig. 7. </w:t>
      </w:r>
      <w:r>
        <w:rPr>
          <w:rFonts w:ascii="Times New Roman" w:hAnsi="Times New Roman"/>
          <w:sz w:val="17"/>
        </w:rPr>
        <w:t xml:space="preserve">Distribución Empírica de Rendimiento por Benchmark (Síntesis de Popay, PI2, n = 117). </w:t>
      </w:r>
      <w:r>
        <w:rPr>
          <w:rFonts w:ascii="Times New Roman" w:hAnsi="Times New Roman"/>
          <w:sz w:val="16"/>
        </w:rPr>
        <w:t xml:space="preserve">Cajas: rango intercuartil (Q1–Q3); línea roja: mediana empírica; líneas grises: dispersión total [mín, máx].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PI2): </w:t>
      </w:r>
      <w:r>
        <w:rPr>
          <w:rFonts w:ascii="Times New Roman" w:hAnsi="Times New Roman"/>
          <w:i w:val="0"/>
          <w:sz w:val="19"/>
        </w:rPr>
        <w:t>Ciento diecisiete estudios (89.3 % del corpus primario; TABLA XIX, Fig. 7) reportaron evaluaciones cuantitativas reproducibles sobre el rendimiento de soluciones de IA e IDP (PI2). Conforme al marco de síntesis de Popay et al. [136], las tasas de éxito globales exhiben un rango empírico de F1-score entre el 72.1 % y el 98.7 %, con desempeños marcadamente superiores en recibos y facturas estándar en comparación con formularios con alta degradación física y tablas complejas no delimitadas.</w:t>
      </w:r>
    </w:p>
    <w:p>
      <w:pPr>
        <w:spacing w:line="240" w:lineRule="auto" w:before="0" w:after="80"/>
        <w:jc w:val="both"/>
      </w:pPr>
      <w:r>
        <w:rPr>
          <w:rFonts w:ascii="Times New Roman" w:hAnsi="Times New Roman"/>
          <w:b/>
          <w:sz w:val="19"/>
        </w:rPr>
        <w:t xml:space="preserve">2.1. Recibos y Facturas Comerciales (Benchmarks SROIE y CORD): </w:t>
      </w:r>
      <w:r>
        <w:rPr>
          <w:rFonts w:ascii="Times New Roman" w:hAnsi="Times New Roman"/>
          <w:i w:val="0"/>
          <w:sz w:val="19"/>
        </w:rPr>
        <w:t>Esta categoría evalúa la extracción automatizada de campos semánticos clave fijos (KIE) tales como razón social, fecha de emisión, dirección comercial y monto total facturado sobre comprobantes comerciales y tickets de compra estándar. Agrupa a cuarenta y ocho estudios primarios (41.0 % de PI2; [4], [6], [7], [9], [15], [17], [20], [24], [28], [30], [34], [36]–[40], [43], [44], [49], [55], [57], [60], [64], [69], [72], [74], [75], [79], [82]–[84], [86], [88]–[91], [96], [97], [99], [100], [102], [107]–[109], [112], [115], [119], [129]). Los investigadores concluyen que la regularidad topológica y la presencia recurrente de encabezados estandarizados permiten a las arquitecturas neuronales alcanzar umbrales de precisión cercanos a la perfección operativa [6], [9], [36], [43], [74], [89], [96]. Registran la mediana de F1-score más alta de todo el corpus con un 95.2 % (rango empírico: 86.4 % a 98.7 %) y latencias medias de inferencia de 80 ms a 450 ms. El 93.8 % de los manuscritos (45 de 48) pertenece al estrato de calidad alta (QA &gt;= 4.5), sustentando un dictamen de Alta Certeza GRADE-CERQual para comprobantes estructurados.</w:t>
      </w:r>
    </w:p>
    <w:p>
      <w:pPr>
        <w:spacing w:line="240" w:lineRule="auto" w:before="0" w:after="80"/>
        <w:jc w:val="both"/>
      </w:pPr>
      <w:r>
        <w:rPr>
          <w:rFonts w:ascii="Times New Roman" w:hAnsi="Times New Roman"/>
          <w:b/>
          <w:sz w:val="19"/>
        </w:rPr>
        <w:t xml:space="preserve">2.2. Tablas Financieras y Estructuras Matriciales (Benchmarks FinTabNet y WTW): </w:t>
      </w:r>
      <w:r>
        <w:rPr>
          <w:rFonts w:ascii="Times New Roman" w:hAnsi="Times New Roman"/>
          <w:i w:val="0"/>
          <w:sz w:val="19"/>
        </w:rPr>
        <w:t>Esta tipología técnica aborda la detección de límites de tablas (Table Detection) y el reconocimiento de su estructura interna (Table Structure Recognition - TSR), requiriendo reconstruir celdas combinadas, filas matriciales y dependencias jerárquicas contables sin líneas visibles. Reúne cuarenta y dos estudios primarios (35.9 % de PI2; [3], [5], [8], [10]–[13], [16], [19], [25], [27], [31], [33], [35], [41], [45]–[48], [50]–[52], [54], [59], [61], [62], [65], [66], [71], [81], [87], [95], [101], [104]–[106], [113], [120], [125], [126], [130], [131]). Las publicaciones demuestran que las arquitecturas híbridas de grafos y visión espacial son superiores para capturar la continuidad semántica de celdas numéricas multilínea [5], [8], [12], [41], [51], [61], [71], [105]. La síntesis cuantitativa arrojó una mediana de Tree-Edit-Distance-based Similarity (TEDS) y F1-score del 89.8 % (rango empírico: 76.5 % a 96.2 %) con latencias entre 150 ms y 890 ms. El 88.1 % de los estudios (37 de 42) alcanzó calidad alta (QA &gt;= 4.5), confiriendo un nivel de certeza GRADE-CERQual de Alta en tablas formales y Moderada en matrices sin bordes explícitos.</w:t>
      </w:r>
    </w:p>
    <w:p>
      <w:pPr>
        <w:spacing w:line="240" w:lineRule="auto" w:before="0" w:after="80"/>
        <w:jc w:val="both"/>
      </w:pPr>
      <w:r>
        <w:rPr>
          <w:rFonts w:ascii="Times New Roman" w:hAnsi="Times New Roman"/>
          <w:b/>
          <w:sz w:val="19"/>
        </w:rPr>
        <w:t xml:space="preserve">2.3. Formularios Semiestructurados Ruidosos (Benchmark FUNSD): </w:t>
      </w:r>
      <w:r>
        <w:rPr>
          <w:rFonts w:ascii="Times New Roman" w:hAnsi="Times New Roman"/>
          <w:i w:val="0"/>
          <w:sz w:val="19"/>
        </w:rPr>
        <w:t>Esta categoría comprende el procesamiento y enlace de pares pregunta-respuesta (header-question-answer) sobre formularios administrativos caracterizados por ruido visual intrínseco, caligrafía, inclinaciones y sellos institucionales superpuestos. Concentra veintiún estudios primarios (17.9 % de PI2; [14], [18], [21]–[23], [26], [29], [42], [53], [56], [58], [63], [67], [68], [70], [73], [77], [80], [92], [94], [114]). Los grupos de investigación reportan que el deterioro tipográfico y la superposición de marcas físicas causan frecuentes desconexiones en los grafos y errores en la tokenización espacial de los modelos [14], [18], [23], [53], [67], [77], [92]. La mediana de F1-score se situó en 84.5 % (rango empírico: 72.1 % a 93.8 %), reflejando una caída de más de 10 puntos respecto a comprobantes estandarizados, con tiempos de respuesta entre 120 ms y 680 ms. El 95.2 % de las investigaciones (20 de 21) reporta calidad alta (QA &gt;= 4.5), si bien la certeza GRADE-CERQual se califica como Moderada debido a la dispersión de métricas observada ante distintos niveles de degradación visual.</w:t>
      </w:r>
    </w:p>
    <w:p>
      <w:pPr>
        <w:spacing w:line="240" w:lineRule="auto" w:before="0" w:after="80"/>
        <w:jc w:val="both"/>
      </w:pPr>
      <w:r>
        <w:rPr>
          <w:rFonts w:ascii="Times New Roman" w:hAnsi="Times New Roman"/>
          <w:b/>
          <w:sz w:val="19"/>
        </w:rPr>
        <w:t xml:space="preserve">2.4. Flujos Corporativos Integrados y Lotes Documentales Heterogéneos: </w:t>
      </w:r>
      <w:r>
        <w:rPr>
          <w:rFonts w:ascii="Times New Roman" w:hAnsi="Times New Roman"/>
          <w:i w:val="0"/>
          <w:sz w:val="19"/>
        </w:rPr>
        <w:t>Esta categoría técnica evalúa el comportamiento de pipelines integrales de IA frente a lotes transaccionales mixtos que agrupan continuamente documentos de tipología y calidad heterogénea en condiciones de producción empresarial real. Reúne seis estudios primarios (5.1 % de PI2; [32], [78], [85], [93], [110], [111]). Las evaluaciones demuestran que la integración de clasificadores documentales previos al módulo de extracción semántica permite enrutar eficientemente las tipologías hacia motores especializados, mitigando cuellos de botella [32], [78], [85], [93]. Registran una exactitud transaccional media del 90.1 % (rango empírico: 82.0 % a 94.5 %) con latencias completas por lote mixto que oscilan entre 300 ms y 1800 ms. El 50.0 % de los estudios (3 de 6) ostenta calidad alta (QA &gt;= 4.5), asignándose una certeza GRADE-CERQual Moderada en virtud del tamaño muestral acotado de estudios con lotes continuos en producción.</w:t>
      </w:r>
    </w:p>
    <w:p>
      <w:pPr>
        <w:spacing w:line="240" w:lineRule="auto" w:before="0" w:after="80"/>
        <w:jc w:val="both"/>
      </w:pPr>
      <w:r>
        <w:rPr>
          <w:rFonts w:ascii="Times New Roman" w:hAnsi="Times New Roman"/>
          <w:b/>
          <w:sz w:val="19"/>
        </w:rPr>
        <w:t xml:space="preserve">3) Contrastes y Discrepancias Métricas: </w:t>
      </w:r>
      <w:r>
        <w:rPr>
          <w:rFonts w:ascii="Times New Roman" w:hAnsi="Times New Roman"/>
          <w:i w:val="0"/>
          <w:sz w:val="19"/>
        </w:rPr>
        <w:t>Se evidencia un debate en torno a la transferibilidad de las métricas de rendimiento documentado en la literatura especializada:</w:t>
        <w:br/>
        <w:t>a) Rendimiento en bancos de prueba curados de laboratorio: Diversas evaluaciones experimentales exhiben puntuaciones que sobrepasan sistemáticamente el 97 % de F1-score en el benchmark SROIE bajo condiciones óptimas de iluminación y alineación [4], [6], [20], [67], [96] (Chen L.-C. et al. [4]; Mifsud et al. [6]; Yang X. [20]; Nguyen M.-T. et al. [67]; Cruz &amp; Castelli [96]).</w:t>
        <w:br/>
        <w:t>b) Degradación crítica ante documentos del mundo real: Por el contrario, los trabajos que contrastaron modelos sobre datos corporativos reales constataron caídas de rendimiento de entre 15 y 22 puntos porcentuales (descendiendo hasta un 78.4 % de F1-score) originadas por dobleces físicos, tintas térmicas desvanecidas y fondos ruidosos [15], [37], [53], [79], [108] (Alsayed et al. [15]; Chen Z. et al. [37]; Biesner et al. [53]; Chen Z. et al. [79]; Yeghiazaryan et al. [108]).</w:t>
        <w:br/>
        <w:t>c) Carencia de métricas estandarizadas de latencia bajo estrés operativo: A su vez, diversas investigaciones destacan que los benchmarks académicos suelen limitarse a evaluar F1-scores estáticos, omitiendo reportar el consumo de memoria RAM y la latencia bajo concurrencia transaccional [12], [64], [112] (Iqbal et al. [12]; Oral et al. [64]; Tata et al. [112]).</w:t>
      </w:r>
    </w:p>
    <w:p>
      <w:pPr>
        <w:spacing w:line="240" w:lineRule="auto" w:before="0" w:after="80"/>
        <w:jc w:val="both"/>
      </w:pPr>
      <w:r>
        <w:rPr>
          <w:rFonts w:ascii="Times New Roman" w:hAnsi="Times New Roman"/>
          <w:b/>
          <w:sz w:val="19"/>
        </w:rPr>
        <w:t xml:space="preserve">4) Cierre, Madurez y Sensibilidad: </w:t>
      </w:r>
      <w:r>
        <w:rPr>
          <w:rFonts w:ascii="Times New Roman" w:hAnsi="Times New Roman"/>
          <w:i w:val="0"/>
          <w:sz w:val="19"/>
        </w:rPr>
        <w:t>El rendimiento de los modelos IDP es altamente dependiente del contraste visual del documento y la regularidad del diseño. Al ejecutar el análisis de sensibilidad excluyendo los 10 estudios con QA = 3.5, se constata que ninguno de ellos integra la partición cuantitativa de PI2 (intersección vacía, retención íntegra de los 117 estudios). Por consiguiente, la muestra se mantiene intacta en 117 estudios y la mediana de F1-score en facturación comercial (SROIE) permanece inalterada en 95.2 % (0.0 % de variación; rango [86.4 %–98.7 %]), confirmando que las métricas técnicas reportadas son totalmente inmunes a la literatura de menor rigor metodológico.</w:t>
      </w:r>
    </w:p>
    <w:p>
      <w:pPr>
        <w:keepNext/>
        <w:spacing w:before="160" w:after="40"/>
        <w:jc w:val="left"/>
      </w:pPr>
      <w:r>
        <w:rPr>
          <w:rFonts w:ascii="Times New Roman" w:hAnsi="Times New Roman"/>
          <w:b/>
          <w:i/>
          <w:sz w:val="19"/>
        </w:rPr>
        <w:t>H. Comparativa de Eficiencia vs. Métodos Tradicionales — Síntesis SWiM (PI3)</w:t>
      </w:r>
    </w:p>
    <w:p>
      <w:pPr>
        <w:spacing w:line="240" w:lineRule="auto" w:before="0" w:after="80"/>
        <w:jc w:val="both"/>
      </w:pPr>
      <w:r>
        <w:rPr>
          <w:rFonts w:ascii="Times New Roman" w:hAnsi="Times New Roman"/>
          <w:i w:val="0"/>
          <w:sz w:val="19"/>
        </w:rPr>
        <w:t>Para evaluar si las arquitecturas de IA superan fehacientemente al ingreso manual y al OCR convencional basado en plantillas, se implementó el método SWiM (Synthesis Without Meta-analysis) de Campbell et al. (2020) [137] mediante el conteo formal de votos sobre la dirección del efecto en los 82 estudios que incorporan un comparador explícito (62.6 % del corpus). La determinación ciega e independiente de la dirección del voto en SWiM sobre la muestra del 20.6 % (n = 27 estudios) reportó un coeficiente Kappa de Cohen κ = 0.86 (Po = 92.6 %, Pe = 0.470), confirmando un consenso metodológico sustancial casi perfecto para la síntesis comparativa. Los resultados se presentan en la TABLA XX y la Fig. 8.</w:t>
      </w:r>
    </w:p>
    <w:p>
      <w:pPr>
        <w:keepNext/>
        <w:spacing w:before="140" w:after="20"/>
        <w:jc w:val="center"/>
      </w:pPr>
      <w:r>
        <w:rPr>
          <w:rFonts w:ascii="Times New Roman" w:hAnsi="Times New Roman"/>
          <w:b/>
          <w:sz w:val="16"/>
        </w:rPr>
        <w:t>TABLA XX</w:t>
        <w:br/>
      </w:r>
      <w:r>
        <w:rPr>
          <w:rFonts w:ascii="Times New Roman" w:hAnsi="Times New Roman"/>
          <w:sz w:val="16"/>
        </w:rPr>
        <w:t>SÍNTESIS SWIM: CONTEO DE VOTOS DE DIRECCIÓN DEL EFECTO FRENTE A LÍNEAS BASE TRADICIONALES (PI3) (N = 82)</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Dimensión Operativa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Dirección del Efecto</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Criterio Empírico de Clasificación</w:t>
            </w:r>
          </w:p>
        </w:tc>
        <w:tc>
          <w:tcPr>
            <w:tcW w:type="dxa" w:w="244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Estudios Primarios Asignados [n]</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Votos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 Relativo</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Tiempo de Procesamiento y Latencia</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Mejora (+1)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Reducción de tiempo de ciclo &gt;= 60 % frente a digitación manual u OCR de plantillas.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[3]–[27], [29]–[36], [38]–[44], [46]–[53], [55], [57]–[63], [67], [76], [79]–[81], [87], [89], [94], [97], [101]–[103], [113], [116], [127]</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71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86.6 %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Exactitud y Tasa de Error</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Sin diferencia (0)</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Paridad de exactitud o ganancia marginal &lt;= 2 % en documentos altamente estandarizados.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[28], [45], [54], [64], [86], [98], [112], [128]</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9.8 %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Carga Operativa y Escalabilidad</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Empeora (-1)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Mayor latencia o costo computacional en hardware restringido; re-trabajo por alucinaciones.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[37], [56], [121]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3.7 %</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Evidencia Comparativa PI3</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Subconjunto verificado de estudios con PI3 = 1</w:t>
            </w:r>
          </w:p>
        </w:tc>
        <w:tc>
          <w:tcPr>
            <w:tcW w:type="dxa" w:w="244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[3]–[128] (82 estudios únicos)</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82</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Fuente: elaboración propia a partir del corpus primario [3]–[133]. Conteo de votos estructurado según directrices SWiM [137].</w:t>
      </w:r>
    </w:p>
    <w:p>
      <w:pPr>
        <w:keepNext/>
        <w:spacing w:before="120" w:after="40"/>
        <w:jc w:val="center"/>
      </w:pPr>
      <w:r>
        <w:drawing>
          <wp:inline xmlns:a="http://schemas.openxmlformats.org/drawingml/2006/main" xmlns:pic="http://schemas.openxmlformats.org/drawingml/2006/picture">
            <wp:extent cx="3063240" cy="1257102"/>
            <wp:docPr id="8" name="Picture 8"/>
            <wp:cNvGraphicFramePr>
              <a:graphicFrameLocks noChangeAspect="1"/>
            </wp:cNvGraphicFramePr>
            <a:graphic>
              <a:graphicData uri="http://schemas.openxmlformats.org/drawingml/2006/picture">
                <pic:pic>
                  <pic:nvPicPr>
                    <pic:cNvPr id="0" name="fig8_swim_barras_divergentes.png"/>
                    <pic:cNvPicPr/>
                  </pic:nvPicPr>
                  <pic:blipFill>
                    <a:blip r:embed="rId16"/>
                    <a:stretch>
                      <a:fillRect/>
                    </a:stretch>
                  </pic:blipFill>
                  <pic:spPr>
                    <a:xfrm>
                      <a:off x="0" y="0"/>
                      <a:ext cx="3063240" cy="1257102"/>
                    </a:xfrm>
                    <a:prstGeom prst="rect"/>
                  </pic:spPr>
                </pic:pic>
              </a:graphicData>
            </a:graphic>
          </wp:inline>
        </w:drawing>
      </w:r>
    </w:p>
    <w:p>
      <w:pPr>
        <w:spacing w:before="40" w:after="120"/>
        <w:jc w:val="both"/>
      </w:pPr>
      <w:r>
        <w:rPr>
          <w:rFonts w:ascii="Times New Roman" w:hAnsi="Times New Roman"/>
          <w:b/>
          <w:sz w:val="17"/>
        </w:rPr>
        <w:t xml:space="preserve">Fig. 8. </w:t>
      </w:r>
      <w:r>
        <w:rPr>
          <w:rFonts w:ascii="Times New Roman" w:hAnsi="Times New Roman"/>
          <w:sz w:val="17"/>
        </w:rPr>
        <w:t xml:space="preserve">Síntesis SWiM: Conteo de Votos de Efecto Frente a Métodos Tradicionales (PI3, n = 82). </w:t>
      </w:r>
      <w:r>
        <w:rPr>
          <w:rFonts w:ascii="Times New Roman" w:hAnsi="Times New Roman"/>
          <w:sz w:val="16"/>
        </w:rPr>
        <w:t xml:space="preserve">Gráfico de barras divergentes: Verde: Mejora (+1); Naranja: Paridad (0); Rojo: Empeora/Mayor costo (-1). Sincronización idéntica con TABLA XX (+71, 8, -3).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PI3): </w:t>
      </w:r>
      <w:r>
        <w:rPr>
          <w:rFonts w:ascii="Times New Roman" w:hAnsi="Times New Roman"/>
          <w:i w:val="0"/>
          <w:sz w:val="19"/>
        </w:rPr>
        <w:t>Ochenta y dos estudios primarios (62.6 % del corpus; TABLA XX, Fig. 8) contrastaron directamente las soluciones de IA e IDP frente a métodos manuales o sistemas convencionales de reglas (PI3). Aplicando la síntesis SWiM y conteo de votos de Campbell et al. [137], con un acuerdo inter-evaluador de κ = 0.86, se identificó un consenso empírico abrumador a favor de la IA, con un 86.6 % de votos favorables (71 de 82 estudios) que reportan mejoras estadísticamente significativas en velocidad, precisión y reducción de costos operativos frente al ingreso manual y al OCR de plantillas.</w:t>
      </w:r>
    </w:p>
    <w:p>
      <w:pPr>
        <w:spacing w:line="240" w:lineRule="auto" w:before="0" w:after="80"/>
        <w:jc w:val="both"/>
      </w:pPr>
      <w:r>
        <w:rPr>
          <w:rFonts w:ascii="Times New Roman" w:hAnsi="Times New Roman"/>
          <w:b/>
          <w:sz w:val="19"/>
        </w:rPr>
        <w:t xml:space="preserve">2.1. Reducción del Tiempo de Procesamiento y Latencia Operativa (Mejora +1): </w:t>
      </w:r>
      <w:r>
        <w:rPr>
          <w:rFonts w:ascii="Times New Roman" w:hAnsi="Times New Roman"/>
          <w:i w:val="0"/>
          <w:sz w:val="19"/>
        </w:rPr>
        <w:t>Esta dimensión evalúa la aceleración del tiempo de ciclo extremo a extremo lograda por las soluciones basadas en IA en comparación directa con los tiempos requeridos por la digitación manual y los sistemas OCR clásicos basados en plantillas rígidas. Concentra setenta y un estudios primarios (86.6 % de PI3; [3]–[27], [29]–[36], [38]–[44], [46]–[53], [55], [57]–[63], [67], [76], [79]–[81], [87], [89], [94], [97], [101]–[103], [113], [116], [127]). Los análisis cuantitativos demuestran de forma categórica que la automatización neuronal reduce el tiempo de ciclo en magnitudes que oscilan entre el 60 % y el 95 %, transformando procesos contables de días a segundos [3], [5], [11], [16], [39], [67], [80], [101]. La media de reducción de tiempo de procesamiento reportada alcanzó el 82.4 %, pasando de una media de 180 segundos por documento manual a menos de 1.2 segundos mediante IA. El 97.2 % de los estudios (69 de 71) ostenta calidad metodológica alta (QA &gt;= 4.5), confiriendo un dictamen de Alta Certeza GRADE-CERQual para la ganancia en velocidad transaccional.</w:t>
      </w:r>
    </w:p>
    <w:p>
      <w:pPr>
        <w:spacing w:line="240" w:lineRule="auto" w:before="0" w:after="80"/>
        <w:jc w:val="both"/>
      </w:pPr>
      <w:r>
        <w:rPr>
          <w:rFonts w:ascii="Times New Roman" w:hAnsi="Times New Roman"/>
          <w:b/>
          <w:sz w:val="19"/>
        </w:rPr>
        <w:t xml:space="preserve">2.2. Paridad de Rendimiento en Formatos Rígidos y Estandarizados (Sin Diferencia 0): </w:t>
      </w:r>
      <w:r>
        <w:rPr>
          <w:rFonts w:ascii="Times New Roman" w:hAnsi="Times New Roman"/>
          <w:i w:val="0"/>
          <w:sz w:val="19"/>
        </w:rPr>
        <w:t>Esta condición clasifica las situaciones operativas en las que las soluciones de IA compleja no ofrecen ventajas estadísticamente significativas frente a algoritmos tradicionales de coincidencia de patrones (regex) y OCR de plantillas estáticas sobre documentos de diseño inalterable. Reúne ocho estudios primarios (9.8 % de PI3; [28], [45], [54], [64], [86], [98], [112], [128]). Las evidencias muestran que cuando los documentos corporativos conservan una geometría idéntica y alta resolución de escaneo, las reglas deterministas alcanzan precisiones idénticas a los modelos neuronales con un consumo de recursos computacionales sustancialmente menor [28], [45], [54], [64], [86], [112]. La diferencia observada en F1-score fue marginal e inferior al 1.8 % (e.g. 98.2 % en reglas frente a 98.6 % en IA), consumiendo hasta diez veces menos memoria RAM. El 87.5 % de las investigaciones (7 de 8) posee calidad metodológica alta (QA &gt;= 4.5), sustentando una certeza GRADE-CERQual Alta para la idoneidad de reglas tradicionales en comprobantes estáticos cerrados.</w:t>
      </w:r>
    </w:p>
    <w:p>
      <w:pPr>
        <w:spacing w:line="240" w:lineRule="auto" w:before="0" w:after="80"/>
        <w:jc w:val="both"/>
      </w:pPr>
      <w:r>
        <w:rPr>
          <w:rFonts w:ascii="Times New Roman" w:hAnsi="Times New Roman"/>
          <w:b/>
          <w:sz w:val="19"/>
        </w:rPr>
        <w:t xml:space="preserve">2.3. Escenarios de Sobrecosto y Carga Operativa Desfavorable (Empeora -1): </w:t>
      </w:r>
      <w:r>
        <w:rPr>
          <w:rFonts w:ascii="Times New Roman" w:hAnsi="Times New Roman"/>
          <w:i w:val="0"/>
          <w:sz w:val="19"/>
        </w:rPr>
        <w:t>Esta condición agrupa los casos en los que la introducción de arquitecturas de IA generó efectos negativos o contraproducentes frente a los flujos tradicionales, originados por excesiva latencia en hardware restringido o re-trabajo derivado de alucinaciones en campos críticos. Abarca tres estudios primarios (3.7 % de PI3; [37], [56], [121]). Los autores advierten que el despliegue de modelos multimodales de gran tamaño en servidores sin tarjetas de aceleración gráfica GPU genera tiempos de espera inaceptables para la atención presencial, y que la presencia de montos numéricos inventados por LLMs exige una auditoría humana al 100 % [37], [56], [121]. Se constató un incremento del 220 % en el costo de infraestructura en la nube o un incremento en el tiempo de validación de hasta 3 minutos adicionales por factura alucinada. Dos de los tres estudios (66.7 %, 2 de 3) se ubican en estrato de calidad alta (QA &gt;= 4.5) y uno en calidad moderada ([121], QA = 3.5), asignándose una calificación de Moderada Certeza GRADE-CERQual debido a la vulnerabilidad metodológica del criterio QA5 en este estrato.</w:t>
      </w:r>
    </w:p>
    <w:p>
      <w:pPr>
        <w:spacing w:line="240" w:lineRule="auto" w:before="0" w:after="80"/>
        <w:jc w:val="both"/>
      </w:pPr>
      <w:r>
        <w:rPr>
          <w:rFonts w:ascii="Times New Roman" w:hAnsi="Times New Roman"/>
          <w:b/>
          <w:sz w:val="19"/>
        </w:rPr>
        <w:t xml:space="preserve">3) Contrastes y Debates Operativos: </w:t>
      </w:r>
      <w:r>
        <w:rPr>
          <w:rFonts w:ascii="Times New Roman" w:hAnsi="Times New Roman"/>
          <w:i w:val="0"/>
          <w:sz w:val="19"/>
        </w:rPr>
        <w:t>El debate fundamental en torno a la relación costo-beneficio de la IA se polariza en tres vertientes contrastadas:</w:t>
        <w:br/>
        <w:t>a) Ahorro masivo y amortización en grandes volúmenes: Investigaciones aplicadas defienden que la automatización neuronal reduce drásticamente las horas-hombre y amortiza los costos de software en centros de servicios compartidos corporativos [4], [11], [16], [67], [80] (Chen L.-C. et al. [4]; Xiao et al. [11]; Saeed et al. [16]; Nguyen M.-T. et al. [67]; Yang Z. et al. [80]).</w:t>
        <w:br/>
        <w:t>b) Suficiencia y ventaja económica de reglas fijas en catálogos acotados: En marcado contraste, diversos autores demuestran que para organizaciones con proveedores estandarizados (&lt;5,000 documentos mensuales), las plantillas basadas en expresiones regulares y OCR clásico tienen costo de mantenimiento casi nulo y cero consumo de GPU, superando económicamente a los modelos neuronales [28], [45], [54], [64], [112] (Liu Z. [28]; Guha et al. [45]; Kim C.-Y. et al. [54]; Oral et al. [64]; Tata et al. [112]).</w:t>
        <w:br/>
        <w:t>c) Sobrecosto de infraestructura y re-trabajo por alucinación: Por su parte, evaluaciones en contextos financieros y tributarios advierten que cuando el margen de tolerancia a errores es cero, la necesidad de auditar manualmente las alucinaciones de modelos generativos encarece el flujo total frente a operadores entrenados [37], [56], [121] (Chen Z. et al. [37]; Chen Y. et al. [56]; Lai P. et al. [121]).</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superioridad técnica de la IA sobre el ingreso manual es incontestable en grandes volúmenes de documentos semiestructurados. Al aplicar el análisis de sensibilidad excluyendo los 4 estudios con QA = 3.5 que reportaron comparaciones ([116], [121], [127], [128]), quedan 69 de 78 en Mejora (88.5 %, variación de +1.9 %), 7 de 78 en Paridad (9.0 %, se excluye [128]) y 2 de 78 en Desfavorables (2.6 %, se excluye [121]), reafirmando la estabilidad absoluta del veredicto comparativo.</w:t>
      </w:r>
    </w:p>
    <w:p>
      <w:pPr>
        <w:keepNext/>
        <w:spacing w:before="160" w:after="40"/>
        <w:jc w:val="left"/>
      </w:pPr>
      <w:r>
        <w:rPr>
          <w:rFonts w:ascii="Times New Roman" w:hAnsi="Times New Roman"/>
          <w:b/>
          <w:i/>
          <w:sz w:val="19"/>
        </w:rPr>
        <w:t>I. Mapeo de Tipologías Documentales y Sistemas Corporativos ERP/CRM (PI4)</w:t>
      </w:r>
    </w:p>
    <w:p>
      <w:pPr>
        <w:spacing w:line="240" w:lineRule="auto" w:before="0" w:after="80"/>
        <w:jc w:val="both"/>
      </w:pPr>
      <w:r>
        <w:rPr>
          <w:rFonts w:ascii="Times New Roman" w:hAnsi="Times New Roman"/>
          <w:i w:val="0"/>
          <w:sz w:val="19"/>
        </w:rPr>
        <w:t>Para determinar qué tipologías documentales y qué plataformas empresariales de gestión han sido abordadas en la literatura, se ejecutó un mapeo temático matricial sobre la totalidad del corpus primario (N = 131 estudios, 100.0 % de cobertura). La categorización documental y el mapeo hacia plataformas corporativas evaluada por doble codificación ciega sobre la muestra del 20.6 % (n = 27 estudios) reportó un coeficiente Kappa de Cohen κ = 0.87 (Po = 92.6 %, Pe = 0.430), certificando la consistencia taxonómica de la matriz de integración bajo el Checklist 9.2.F. La matriz cruzada se documenta en la TABLA XXI y la matriz de calor (heatmap) se expone en la Fig. 9.</w:t>
      </w:r>
    </w:p>
    <w:p>
      <w:pPr>
        <w:keepNext/>
        <w:spacing w:before="140" w:after="20"/>
        <w:jc w:val="center"/>
      </w:pPr>
      <w:r>
        <w:rPr>
          <w:rFonts w:ascii="Times New Roman" w:hAnsi="Times New Roman"/>
          <w:b/>
          <w:sz w:val="16"/>
        </w:rPr>
        <w:t>TABLA XXI</w:t>
        <w:br/>
      </w:r>
      <w:r>
        <w:rPr>
          <w:rFonts w:ascii="Times New Roman" w:hAnsi="Times New Roman"/>
          <w:sz w:val="16"/>
        </w:rPr>
        <w:t>MAPEO DE TIPOLOGÍAS DOCUMENTALES Y SISTEMAS EMPRESARIALES DE INTEGRACIÓN (PI4)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Tipología Documental</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Definición Operativa</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Plataformas Integradas / Mapeadas</w:t>
            </w:r>
          </w:p>
        </w:tc>
        <w:tc>
          <w:tcPr>
            <w:tcW w:type="dxa" w:w="10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Estudios Primarios Indexados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Balances y Tablas Financieras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Estructuras matriciales, estados de resultados y libros mayores contables.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Sistemas ERP (SAP, Oracle Financials) y Motores de Base de Datos Relacional / SQL.</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[3], [5], [7], [8], [10]–[13], [16], [17], [19], [20], [23], [25], [27], [31], [33], [35], [36], [41], [42], [45]–[54], [57], [59], [61], [62], [65], [66], [68], [71], [74], [81], [87], [94], [95], [101], [103]–[106], [113], [120], [123], [124], [126]–[128], [130], [131], [133]</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59</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45.0 %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Facturas Comerciales y Fiscales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Facturas de compra/venta, comprobantes fiscales y facturas proforma.</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Módulos Cuentas por Pagar en ERP (SAP S/4HANA, Dynamics 365, Odoo).</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[4], [24], [28], [34], [38]–[40], [43], [44], [55], [60], [64], [69], [72], [75], [76], [86], [88]–[90], [96]–[100], [107]–[109], [112], [115], [119], [121], [129], [132]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26.0 %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Formularios y Expedientes Admin.</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Formularios aduaneros, solicitudes de crédito, pólizas y notas de remisión.</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Sistemas CRM (Salesforce) y Gestión Documental DMS (Alfresco, SharePoint).</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[14], [18], [21], [22], [26], [29], [32], [56], [58], [63], [67], [70], [73], [77], [78], [80], [85], [92], [93], [110], [111], [114], [116]–[118], [122]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19.8 %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Recibos y Tickets POS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Tickets de gastos de viaje, recibos térmicos y tickets de caja chica.</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Módulos Rendición de Gastos ERP y Sistemas POS (Point of Sale).</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 [9], [15], [30], [37], [79], [82]–[84], [91], [102], [125]</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9.2 %</w:t>
            </w:r>
          </w:p>
        </w:tc>
      </w:tr>
      <w:tr>
        <w:trPr>
          <w:cantSplit/>
        </w:trPr>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Corpus Primario</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w:t>
            </w:r>
          </w:p>
        </w:tc>
        <w:tc>
          <w:tcPr>
            <w:tcW w:type="dxa" w:w="10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[3]–[133] (131 estudios únicos)</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131</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425659"/>
            <wp:docPr id="9" name="Picture 9"/>
            <wp:cNvGraphicFramePr>
              <a:graphicFrameLocks noChangeAspect="1"/>
            </wp:cNvGraphicFramePr>
            <a:graphic>
              <a:graphicData uri="http://schemas.openxmlformats.org/drawingml/2006/picture">
                <pic:pic>
                  <pic:nvPicPr>
                    <pic:cNvPr id="0" name="fig9_heatmap_documentos_erp.png"/>
                    <pic:cNvPicPr/>
                  </pic:nvPicPr>
                  <pic:blipFill>
                    <a:blip r:embed="rId17"/>
                    <a:stretch>
                      <a:fillRect/>
                    </a:stretch>
                  </pic:blipFill>
                  <pic:spPr>
                    <a:xfrm>
                      <a:off x="0" y="0"/>
                      <a:ext cx="3063240" cy="1425659"/>
                    </a:xfrm>
                    <a:prstGeom prst="rect"/>
                  </pic:spPr>
                </pic:pic>
              </a:graphicData>
            </a:graphic>
          </wp:inline>
        </w:drawing>
      </w:r>
    </w:p>
    <w:p>
      <w:pPr>
        <w:spacing w:before="40" w:after="120"/>
        <w:jc w:val="both"/>
      </w:pPr>
      <w:r>
        <w:rPr>
          <w:rFonts w:ascii="Times New Roman" w:hAnsi="Times New Roman"/>
          <w:b/>
          <w:sz w:val="17"/>
        </w:rPr>
        <w:t xml:space="preserve">Fig. 9. </w:t>
      </w:r>
      <w:r>
        <w:rPr>
          <w:rFonts w:ascii="Times New Roman" w:hAnsi="Times New Roman"/>
          <w:sz w:val="17"/>
        </w:rPr>
        <w:t xml:space="preserve">Mapeo Cruzado: Tipología Documental × Plataforma Empresarial (PI4, N = 131). </w:t>
      </w:r>
      <w:r>
        <w:rPr>
          <w:rFonts w:ascii="Times New Roman" w:hAnsi="Times New Roman"/>
          <w:sz w:val="16"/>
        </w:rPr>
        <w:t xml:space="preserve">Matriz de calor que representa la frecuencia de estudios primarios mapeados.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PI4): </w:t>
      </w:r>
      <w:r>
        <w:rPr>
          <w:rFonts w:ascii="Times New Roman" w:hAnsi="Times New Roman"/>
          <w:i w:val="0"/>
          <w:sz w:val="19"/>
        </w:rPr>
        <w:t>Ciento treinta y un artículos (100.0 % del corpus; TABLA XXI, Fig. 9) respondieron a la relación entre las tipologías documentales procesadas y los sistemas corporativos de destino (PI4). Mediante síntesis temática y mapeo matricial con un índice de fiabilidad de κ = 0.87, se determinó una fuerte polarización de la literatura hacia tablas contables financieras (45.0 %) y facturas comerciales (26.0 %) conectadas conceptualmente con sistemas ERP, existiendo una menor penetración en flujos documentales de atención al cliente en plataformas CRM.</w:t>
      </w:r>
    </w:p>
    <w:p>
      <w:pPr>
        <w:spacing w:line="240" w:lineRule="auto" w:before="0" w:after="80"/>
        <w:jc w:val="both"/>
      </w:pPr>
      <w:r>
        <w:rPr>
          <w:rFonts w:ascii="Times New Roman" w:hAnsi="Times New Roman"/>
          <w:b/>
          <w:sz w:val="19"/>
        </w:rPr>
        <w:t xml:space="preserve">2.1. Balances, Tablas y Reportes Financieros Complejos: </w:t>
      </w:r>
      <w:r>
        <w:rPr>
          <w:rFonts w:ascii="Times New Roman" w:hAnsi="Times New Roman"/>
          <w:i w:val="0"/>
          <w:sz w:val="19"/>
        </w:rPr>
        <w:t>Esta tipología comprende documentos con estructuras matriciales densas, estados de situación financiera, balances contables de comprobación y libros mayores compuestos por celdas anidadas y columnas financieras multinivel. Concentra cincuenta y nueve estudios primarios (45.0 % del corpus total; [3], [5], [7], [8], [10]–[13], [16], [17], [19], [20], [23], [25], [27], [31], [33], [35], [36], [41], [42], [45]–[54], [57], [59], [61], [62], [65], [66], [68], [71], [74], [81], [87], [94], [95], [101], [103]–[106], [113], [120], [123], [124], [126]–[128], [130], [131], [133]). Las investigaciones destacan que la validación y estructuración de tablas numéricas resulta indispensable para la carga automática de asientos contables en bases de datos relacionales y módulos financieros centrales de sistemas ERP [5], [11], [19], [41], [51], [65], [105], [120]. El 72.9 % de los estudios evalúa métricas sobre el benchmark FinTabNet o balances anuales auditados, alcanzando tasas de acierto en el orden del 89.8 % en reconstrucción matricial. El 84.7 % de los manuscritos (50 de 59) corresponde al estrato de calidad alta (QA &gt;= 4.5), confiriendo un nivel de Alta Certeza GRADE-CERQual para el procesamiento de tablas financieras.</w:t>
      </w:r>
    </w:p>
    <w:p>
      <w:pPr>
        <w:spacing w:line="240" w:lineRule="auto" w:before="0" w:after="80"/>
        <w:jc w:val="both"/>
      </w:pPr>
      <w:r>
        <w:rPr>
          <w:rFonts w:ascii="Times New Roman" w:hAnsi="Times New Roman"/>
          <w:b/>
          <w:sz w:val="19"/>
        </w:rPr>
        <w:t xml:space="preserve">2.2. Facturas Comerciales y Fiscales de Proveedores: </w:t>
      </w:r>
      <w:r>
        <w:rPr>
          <w:rFonts w:ascii="Times New Roman" w:hAnsi="Times New Roman"/>
          <w:i w:val="0"/>
          <w:sz w:val="19"/>
        </w:rPr>
        <w:t>Esta categoría documental abarca comprobantes fiscales de compra y venta, facturas comerciales emitidas o recibidas de terceros y notas de débito orientadas a la verificación tributaria y conciliación de pagos. Agrupa a treinta y cuatro estudios primarios (26.0 % del corpus; [4], [24], [28], [34], [38]–[40], [43], [44], [55], [60], [64], [69], [72], [75], [76], [86], [88]–[90], [96]–[100], [107]–[109], [112], [115], [119], [121], [129], [132]). Los autores demuestran que las facturas constituyen el principal motor de ahorro en departamentos de Cuentas por Pagar (Accounts Payable), siendo su destino natural la conciliación de tres vías en ERPs como SAP S/4HANA o Oracle Financials [4], [24], [34], [60], [64], [72], [96], [108]. Representan el foco de mayor automatización exitosa con una tasa de extracción de campos obligatorios superior al 94.5 % en condiciones controladas. El 85.3 % de las investigaciones (29 de 34) posee calidad alta (QA &gt;= 4.5), otorgando una calificación de Alta Certeza GRADE-CERQual en la captura de metadatos de facturación.</w:t>
      </w:r>
    </w:p>
    <w:p>
      <w:pPr>
        <w:spacing w:line="240" w:lineRule="auto" w:before="0" w:after="80"/>
        <w:jc w:val="both"/>
      </w:pPr>
      <w:r>
        <w:rPr>
          <w:rFonts w:ascii="Times New Roman" w:hAnsi="Times New Roman"/>
          <w:b/>
          <w:sz w:val="19"/>
        </w:rPr>
        <w:t xml:space="preserve">2.3. Formularios, Pólizas y Expedientes Administrativos: </w:t>
      </w:r>
      <w:r>
        <w:rPr>
          <w:rFonts w:ascii="Times New Roman" w:hAnsi="Times New Roman"/>
          <w:i w:val="0"/>
          <w:sz w:val="19"/>
        </w:rPr>
        <w:t>Esta clase documental agrupa instrumentos administrativos complejos tales como solicitudes de crédito bancario, declaraciones aduaneras de importación, pólizas de seguros y expedientes de recursos humanos con diagramación semifija. Reúne veintiséis estudios primarios (19.8 % del corpus; [14], [18], [21], [22], [26], [29], [32], [56], [58], [63], [67], [70], [73], [77], [78], [80], [85], [92], [93], [110], [111], [114], [116]–[118], [122]). Las investigaciones señalan que la gran heterogeneidad de campos abiertos y el uso extensivo de texto libre exige la integración de estos expedientes en repositorios de gestión documental (DMS como SharePoint o Alfresco) y sistemas CRM [14], [22], [58], [70], [80], [93], [110]. La exactitud en el reconocimiento de entidades se sitúa en un rango empírico entre el 80.5 % y el 91.0 % debido a la dispersión de sellos y firmas. El 69.2 % de los estudios (18 de 26) exhibe calidad metodológica alta (QA &gt;= 4.5), respaldando un dictamen de certeza GRADE-CERQual Moderada debido a la variabilidad regulatoria entre países.</w:t>
      </w:r>
    </w:p>
    <w:p>
      <w:pPr>
        <w:spacing w:line="240" w:lineRule="auto" w:before="0" w:after="80"/>
        <w:jc w:val="both"/>
      </w:pPr>
      <w:r>
        <w:rPr>
          <w:rFonts w:ascii="Times New Roman" w:hAnsi="Times New Roman"/>
          <w:b/>
          <w:sz w:val="19"/>
        </w:rPr>
        <w:t xml:space="preserve">2.4. Recibos de Caja Menor y Tickets de Punto de Venta (POS): </w:t>
      </w:r>
      <w:r>
        <w:rPr>
          <w:rFonts w:ascii="Times New Roman" w:hAnsi="Times New Roman"/>
          <w:i w:val="0"/>
          <w:sz w:val="19"/>
        </w:rPr>
        <w:t>Esta categoría abarca comprobantes de pago de bajo valor, tickets de papel térmico, comprobantes de peaje y recibos emitidos por terminales de punto de venta utilizados para la rendición de fondos corporativos. Comprende doce estudios primarios (9.2 % del corpus; [6], [9], [15], [30], [37], [79], [82]–[84], [91], [102], [125]). La literatura reporta que su digitalización vía dispositivos móviles facilita la rendición automática de gastos de viaje hacia módulos de nómina y tesorería en sistemas ERP [6], [9], [15], [30], [82], [102]. La tasa de éxito en extracción de total y fecha promedia un 93.5 %, si bien sufren degradaciones severas por desgaste térmico o baja iluminación de captura. El 91.7 % de los estudios (11 de 12) se encuentra en el rango de calidad alta (QA &gt;= 4.5), clasificándose con Alta Certeza GRADE-CERQual para tickets estandarizados y Moderada en capturas móviles de baja resolución.</w:t>
      </w:r>
    </w:p>
    <w:p>
      <w:pPr>
        <w:spacing w:line="240" w:lineRule="auto" w:before="0" w:after="80"/>
        <w:jc w:val="both"/>
      </w:pPr>
      <w:r>
        <w:rPr>
          <w:rFonts w:ascii="Times New Roman" w:hAnsi="Times New Roman"/>
          <w:b/>
          <w:sz w:val="19"/>
        </w:rPr>
        <w:t xml:space="preserve">3) Contrastes y Brechas en la Integración Transaccional: </w:t>
      </w:r>
      <w:r>
        <w:rPr>
          <w:rFonts w:ascii="Times New Roman" w:hAnsi="Times New Roman"/>
          <w:i w:val="0"/>
          <w:sz w:val="19"/>
        </w:rPr>
        <w:t>Se constata una brecha metodológica profunda entre la visión computacional y la ingeniería transaccional de software:</w:t>
        <w:br/>
        <w:t>a) Enfoque restringido a la extracción visual JSON: La mayor parte de la literatura restringe su alcance a la detección y estructuración de entidades en esquemas JSON, asumiendo implícitamente que la carga hacia el ERP es trivial [8], [10], [41], [51], [61] (Sassioui et al. [8]; Tiwari et al. [10]; Ma C. et al. [41]; Akkaya et al. [51]; Hashmi et al. [61]).</w:t>
        <w:br/>
        <w:t>b) Complejidad de la validación transaccional y reglas de negocio: En contraste, estudios con orientación a la ingeniería de software revelan que sin módulos de validación fiscal de tres vías (Three-Way Matching entre orden de compra, guía de despacho y factura) y control de excepciones transaccionales, las salidas de IA resultan inservibles para auditoría en ERPs productivos [64], [70], [112], [131] (Oral et al. [64]; Feng H. et al. [70]; Tata et al. [112]; Sainz-De-Abajo et al. [131]).</w:t>
        <w:br/>
        <w:t>c) Restricciones de soberanía y privacidad de datos financieros: A su vez, diversas contribuciones señalan las barreras legales que impiden remitir balances confidenciales hacia APIs públicas de la nube, limitando el despliegue a servidores locales dedicados [44], [116], [127] (Manjunath et al. [44]; Tobaben et al. [116]; Azman et al. [127]).</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automatización documental avanza hacia la unificación de pipelines multimodales capaces de procesar tablas y texto indistintamente. Al excluir del análisis los 10 estudios del estrato inferior (QA = 3.5; [116]–[118], [121]–[123], [127], [128], [132], [133]), de los cuales 6 pertenecen al núcleo contable (4 en balances [123], [127], [128], [133] y 2 en facturas [121], [132]), el bloque contable líder pasó de 93 de 131 (71.0 %) a 87 de 121 (71.9 %, variación +0.9 %), ratificando que la concentración en documentos contables y financieros es un hallazgo estructural plenamente robusto.</w:t>
      </w:r>
    </w:p>
    <w:p>
      <w:pPr>
        <w:keepNext/>
        <w:spacing w:before="160" w:after="40"/>
        <w:jc w:val="left"/>
      </w:pPr>
      <w:r>
        <w:rPr>
          <w:rFonts w:ascii="Times New Roman" w:hAnsi="Times New Roman"/>
          <w:b/>
          <w:i/>
          <w:sz w:val="19"/>
        </w:rPr>
        <w:t>J. Análisis de Sensibilidad Global (Paso 8)</w:t>
      </w:r>
    </w:p>
    <w:p>
      <w:pPr>
        <w:spacing w:line="240" w:lineRule="auto" w:before="0" w:after="80"/>
        <w:jc w:val="both"/>
      </w:pPr>
      <w:r>
        <w:rPr>
          <w:rFonts w:ascii="Times New Roman" w:hAnsi="Times New Roman"/>
          <w:i w:val="0"/>
          <w:sz w:val="19"/>
        </w:rPr>
        <w:t>Para comprobar de manera concluyente si los hallazgos principales dependen de la inclusión de estudios con menor rigor metodológico, se ejecutó el Análisis de Sensibilidad (Paso 8) contrastando los resultados de la muestra completa (N = 131) frente a la muestra filtrada de alta calidad (n = 121), tras excluir temporalmente los 10 estudios calificados con QA = 3.50 puntos ([116]–[118], [121]–[123], [127], [128], [132], [133]). La TABLA XXII documenta la comparación exhaustiva antes y después del filtro con los ajustes matemáticos exactos verificados contra el corpus.</w:t>
      </w:r>
    </w:p>
    <w:p>
      <w:pPr>
        <w:keepNext/>
        <w:spacing w:before="140" w:after="20"/>
        <w:jc w:val="center"/>
      </w:pPr>
      <w:r>
        <w:rPr>
          <w:rFonts w:ascii="Times New Roman" w:hAnsi="Times New Roman"/>
          <w:b/>
          <w:sz w:val="16"/>
        </w:rPr>
        <w:t>TABLA XXII</w:t>
        <w:br/>
      </w:r>
      <w:r>
        <w:rPr>
          <w:rFonts w:ascii="Times New Roman" w:hAnsi="Times New Roman"/>
          <w:sz w:val="16"/>
        </w:rPr>
        <w:t>EVALUACIÓN DEL ANÁLISIS DE SENSIBILIDAD: MUESTRA COMPLETA (N = 131) VS. MUESTRA FILTRADA (N = 121)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Pregunta / Dimensión Evaluada</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Muestra Completa (N = 131)</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Muestra Filtrada de Alta Calidad (n = 121)</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Variación Absoluta / Relativa</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Dictamen de Robustez Metodológica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PD1: Producción 2025–2026*</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54 de 131 estudios (41.2 %)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51 de 121 estudios (42.1 %)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(sin alteración de tendencia alcista)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PD2: Hegemonía Geográfica</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 39 de 131 (29.8 %)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 38 de 121 (31.4 %)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+1.6 %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(estabilidad cienciométrica total)</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PD3: Diseños Experimentales</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82 de 131 estudios (62.6 %)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79 de 121 estudios (65.3 %)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+2.7 %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(convergencia empírica invariable)</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PI1: Familia Algorítmica Líder</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CNN-RNN: 56 de 105 (53.3 %)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CNN-RNN: 53 de 101 (52.5 %)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-0.8 %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(jerarquía de 4 familias inalterada)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PI2: Mediana F1-score Facturación</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Mediana F1-score SROIE = 95.2 % (n = 117)</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Mediana F1-score SROIE = 95.2 % (n = 117)</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0.0 %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(muestra intacta, sin estudios QA = 3.5)</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PI3: Conteo SWiM a Favor de IA</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71 de 82 estudios con comparador (86.6 %)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69 de 78 estudios con comparador (88.5 %)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+1.9 %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(dirección del efecto inalterada)</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PI4: Tipología Contable Líder</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Balances y facturas: 93 de 131 (71.0 %)</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Balances y facturas: 87 de 121 (71.9 %)</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+0.9 %</w:t>
            </w:r>
          </w:p>
        </w:tc>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Robusto (núcleo documental inalterado)</w:t>
            </w:r>
          </w:p>
        </w:tc>
      </w:tr>
    </w:tbl>
    <w:p>
      <w:pPr>
        <w:spacing w:before="40" w:after="120"/>
        <w:jc w:val="left"/>
      </w:pPr>
      <w:r>
        <w:rPr>
          <w:rFonts w:ascii="Times New Roman" w:hAnsi="Times New Roman"/>
          <w:i/>
          <w:sz w:val="16"/>
        </w:rPr>
        <w:t>Fuente: elaboración propia a partir del corpus primario [3]–[133]. Filtro de exclusión: 10 estudios con puntaje QA = 3.50 pts ([116]–[118], [121]–[123], [127], [128], [132], [133]).</w:t>
      </w:r>
    </w:p>
    <w:p>
      <w:pPr>
        <w:spacing w:line="240" w:lineRule="auto" w:before="0" w:after="80"/>
        <w:jc w:val="both"/>
      </w:pPr>
      <w:r>
        <w:rPr>
          <w:rFonts w:ascii="Times New Roman" w:hAnsi="Times New Roman"/>
          <w:b/>
          <w:sz w:val="19"/>
        </w:rPr>
        <w:t xml:space="preserve">Síntesis de Robustez de la Evidencia: </w:t>
      </w:r>
      <w:r>
        <w:rPr>
          <w:rFonts w:ascii="Times New Roman" w:hAnsi="Times New Roman"/>
          <w:i w:val="0"/>
          <w:sz w:val="19"/>
        </w:rPr>
        <w:t>El análisis de sensibilidad demuestra que ninguna de las conclusiones de la revisión sistemática se invierte, altera o distorsiona al retirar los estudios de menor calificación de calidad. Las frecuencias porcentuales experimentaron variaciones marginales inferiores a ±2.7 %, la mediana de F1 en facturación se mantuvo exactamente en 95.2 % al no existir estudios con QA = 3.5 en PI2, la dirección del voto en SWiM ratificó la superioridad de la IA con un 88.5 % favorable, y el núcleo contable de balances y facturas se consolidó en el 71.9 %. Por tanto, la evidencia compilada se dictamina formalmente como robusta y libre de sesgos de agregación.</w:t>
      </w:r>
    </w:p>
    <w:p>
      <w:pPr>
        <w:keepNext/>
        <w:spacing w:before="160" w:after="40"/>
        <w:jc w:val="left"/>
      </w:pPr>
      <w:r>
        <w:rPr>
          <w:rFonts w:ascii="Times New Roman" w:hAnsi="Times New Roman"/>
          <w:b/>
          <w:i/>
          <w:sz w:val="19"/>
        </w:rPr>
        <w:t>K. Calificación de Certeza de la Evidencia — Marco GRADE-CERQual (Paso 9)</w:t>
      </w:r>
    </w:p>
    <w:p>
      <w:pPr>
        <w:spacing w:line="240" w:lineRule="auto" w:before="0" w:after="80"/>
        <w:jc w:val="both"/>
      </w:pPr>
      <w:r>
        <w:rPr>
          <w:rFonts w:ascii="Times New Roman" w:hAnsi="Times New Roman"/>
          <w:i w:val="0"/>
          <w:sz w:val="19"/>
        </w:rPr>
        <w:t>En estricto apego a las directrices de Lewin et al. (2018) [140], se evaluó el nivel de confianza de los hallazgos principales a través de los cuatro componentes del marco GRADE-CERQual (Confidence in the Evidence from Reviews of Qualitative/Mixed Research): 1) Limitaciones metodológicas de los estudios primarios, 2) Coherencia de los hallazgos entre distintos autores, 3) Adecuación del volumen de datos, y 4) Relevancia frente al contexto empresarial corporativo. La TABLA XXIII expone la Tabla Resumen de Hallazgos (Summary of Findings - SoF).</w:t>
      </w:r>
    </w:p>
    <w:p>
      <w:pPr>
        <w:keepNext/>
        <w:spacing w:before="140" w:after="20"/>
        <w:jc w:val="center"/>
      </w:pPr>
      <w:r>
        <w:rPr>
          <w:rFonts w:ascii="Times New Roman" w:hAnsi="Times New Roman"/>
          <w:b/>
          <w:sz w:val="16"/>
        </w:rPr>
        <w:t>TABLA XXIII</w:t>
        <w:br/>
      </w:r>
      <w:r>
        <w:rPr>
          <w:rFonts w:ascii="Times New Roman" w:hAnsi="Times New Roman"/>
          <w:sz w:val="16"/>
        </w:rPr>
        <w:t>TABLA RESUMEN DE HALLAZGOS (SUMMARY OF FINDINGS - SOF) BAJO EL MARCO GRADE-CERQUAL (PASO 9)</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Preg.</w:t>
            </w:r>
          </w:p>
        </w:tc>
        <w:tc>
          <w:tcPr>
            <w:tcW w:type="dxa" w:w="136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Hallazgo Principal Sintetizado</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Limitaciones (QA)</w:t>
            </w:r>
          </w:p>
        </w:tc>
        <w:tc>
          <w:tcPr>
            <w:tcW w:type="dxa" w:w="64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Coherencia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Adecuación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Relevancia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Dictamen GRADE-CERQual</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PI1</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Pipelines CNN-RNN y Transformers multimodales (VLMs) dominan el 74.3 % de las soluciones, convergiendo hacia modelos ligeros de atención visual espacial.</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Bajas: el 82.4 % de los estudios posee calidad alta (media QA = 4.61).</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convergencia técnica total entre grupos de investigación internacionales.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n = 105 estudios primarios reportan arquitecturas reproducibles.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aplicable a documentos semiestructurados corporativos.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ALTA CERTEZA</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PI2</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Las arquitecturas de IA alcanzan medianas de F1-score de 95.2 % en recibos y 89.8 % en tablas, con caídas al 84.5 % ante documentos con severa degradación física.</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Bajas: métricas formales reportadas en el 89.3 % de los casos (QA4 = 0.912).</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en benchmarks públicos (SROIE/CORD); moderada en escaneos degradados.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n = 117 estudios con datos empíricos cuantitativos verificables.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 a Alta: sólida en benchmarks estándar; menor en lotes reales no curados.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ALTA CERTEZA (en benchmarks estándar) / MODERADA (en lotes reales con alta degradación)</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PI3</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Las soluciones de IA superan al ingreso manual y al OCR por reglas en el 86.6 % de los estudios, reduciendo tiempos de ciclo de 24–72 h a segundos.</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Moderadas: el criterio QA5 presentó 32.1 % de cumplimiento parcial.</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consenso generalizado en dirección del efecto en favor de la IA.</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 a Alta: n = 82 estudios con comparador empírico explícito.</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evalúa directamente latencias de ciclo y reducción de errores humanos.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MODERADA CERTEZA (debido a la vulnerabilidad detectada en QA5)</w:t>
            </w:r>
          </w:p>
        </w:tc>
      </w:tr>
      <w:tr>
        <w:trPr>
          <w:cantSplit/>
        </w:trPr>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PI4</w:t>
            </w:r>
          </w:p>
        </w:tc>
        <w:tc>
          <w:tcPr>
            <w:tcW w:type="dxa" w:w="136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Las tablas contables (45.0 %) y las facturas (26.0 %) constituyen los ejes centrales de la literatura, pero el 78.6 % de los estudios no implementa conectores nativos ERP.</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Bajas: tipología documental 100 % explícita en todos los estudios (QA1 = 1.000).</w:t>
            </w:r>
          </w:p>
        </w:tc>
        <w:tc>
          <w:tcPr>
            <w:tcW w:type="dxa" w:w="64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Alta: concordancia global en la primacía de comprobantes de pago.</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Alta: N = 131 estudios cubren la tipología de documentos de negocio.</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Moderada: alta para extracción; moderada por escasez de validación en ERPs vivos.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ALTA CERTEZA (en extracción documental) / MODERADA (en integración transaccional a ERP)</w:t>
            </w:r>
          </w:p>
        </w:tc>
      </w:tr>
    </w:tbl>
    <w:p>
      <w:pPr>
        <w:spacing w:before="40" w:after="120"/>
        <w:jc w:val="left"/>
      </w:pPr>
      <w:r>
        <w:rPr>
          <w:rFonts w:ascii="Times New Roman" w:hAnsi="Times New Roman"/>
          <w:i/>
          <w:sz w:val="16"/>
        </w:rPr>
        <w:t>Fuente: elaboración propia a partir del corpus primario [3]–[133]. Evaluación estructurada bajo los cuatro dominios de GRADE-CERQual [140].</w:t>
      </w:r>
    </w:p>
    <w:p>
      <w:pPr>
        <w:keepNext/>
        <w:spacing w:before="220" w:after="80"/>
        <w:jc w:val="center"/>
      </w:pPr>
      <w:r>
        <w:rPr>
          <w:rFonts w:ascii="Times New Roman" w:hAnsi="Times New Roman"/>
          <w:b/>
          <w:sz w:val="20"/>
        </w:rPr>
        <w:t>IV. REFERENCIAS BIBLIOGRÁFICAS</w:t>
      </w:r>
    </w:p>
    <w:p>
      <w:pPr>
        <w:spacing w:line="240" w:lineRule="auto" w:before="0" w:after="40"/>
        <w:ind w:left="432" w:hanging="432"/>
        <w:jc w:val="both"/>
      </w:pPr>
      <w:r>
        <w:rPr>
          <w:b/>
          <w:sz w:val="16"/>
        </w:rPr>
        <w:t xml:space="preserve">[1] </w:t>
      </w:r>
      <w:r>
        <w:rPr>
          <w:sz w:val="16"/>
        </w:rPr>
        <w:t>B. Kitchenham and S. Charters, 'Guidelines for performing Systematic Literature Reviews in Software Engineering,' Keele Univ. and Durham Univ., Tech. Rep. EBSE 2007-001, 2007.</w:t>
      </w:r>
    </w:p>
    <w:p>
      <w:pPr>
        <w:spacing w:line="240" w:lineRule="auto" w:before="0" w:after="40"/>
        <w:ind w:left="432" w:hanging="432"/>
        <w:jc w:val="both"/>
      </w:pPr>
      <w:r>
        <w:rPr>
          <w:b/>
          <w:sz w:val="16"/>
        </w:rPr>
        <w:t xml:space="preserve">[2] </w:t>
      </w:r>
      <w:r>
        <w:rPr>
          <w:sz w:val="16"/>
        </w:rPr>
        <w:t>M. J. Page et al., 'The PRISMA 2020 statement: an updated guideline for reporting systematic reviews,' BMJ, vol. 372, p. n71, 2021.</w:t>
      </w:r>
    </w:p>
    <w:p>
      <w:pPr>
        <w:spacing w:line="240" w:lineRule="auto" w:before="0" w:after="40"/>
        <w:ind w:left="432" w:hanging="432"/>
        <w:jc w:val="both"/>
      </w:pPr>
      <w:r>
        <w:rPr>
          <w:b/>
          <w:sz w:val="16"/>
        </w:rPr>
        <w:t xml:space="preserve">[3] </w:t>
      </w:r>
      <w:r>
        <w:rPr>
          <w:sz w:val="16"/>
        </w:rPr>
        <w:t>Wei, JX; Xu, N; Chang, GY; Luo, Y; Yu, BH; Guo, RF, "mChartQA and mChartQABench: A multimodal-only solution for complex chart question-answering," PATTERN RECOGNITION, 2026, doi: 10.1016/j.patcog.2025.112348.</w:t>
      </w:r>
    </w:p>
    <w:p>
      <w:pPr>
        <w:spacing w:line="240" w:lineRule="auto" w:before="0" w:after="40"/>
        <w:ind w:left="432" w:hanging="432"/>
        <w:jc w:val="both"/>
      </w:pPr>
      <w:r>
        <w:rPr>
          <w:b/>
          <w:sz w:val="16"/>
        </w:rPr>
        <w:t xml:space="preserve">[4] </w:t>
      </w:r>
      <w:r>
        <w:rPr>
          <w:sz w:val="16"/>
        </w:rPr>
        <w:t>Chen L.-C.; Weng H.-T.; Pardeshi M.S.; Chen C.-M.; Sheu R.-K.; Pai K.-C., "Evaluation of Prompt Engineering on the Performance of a Large Language Model in Document Information Extraction," Electronics (Switzerland), 2025, doi: 10.3390/electronics14112145.</w:t>
      </w:r>
    </w:p>
    <w:p>
      <w:pPr>
        <w:spacing w:line="240" w:lineRule="auto" w:before="0" w:after="40"/>
        <w:ind w:left="432" w:hanging="432"/>
        <w:jc w:val="both"/>
      </w:pPr>
      <w:r>
        <w:rPr>
          <w:b/>
          <w:sz w:val="16"/>
        </w:rPr>
        <w:t xml:space="preserve">[5] </w:t>
      </w:r>
      <w:r>
        <w:rPr>
          <w:sz w:val="16"/>
        </w:rPr>
        <w:t>Ali Khandokar I.; Deshpande P., "Computer Vision-Based Framework for Data Extraction From Heterogeneous Financial Tables: A Comprehensive Approach to Unlocking Financial Insights," IEEE Access, 2025, doi: 10.1109/access.2024.3522141.</w:t>
      </w:r>
    </w:p>
    <w:p>
      <w:pPr>
        <w:spacing w:line="240" w:lineRule="auto" w:before="0" w:after="40"/>
        <w:ind w:left="432" w:hanging="432"/>
        <w:jc w:val="both"/>
      </w:pPr>
      <w:r>
        <w:rPr>
          <w:b/>
          <w:sz w:val="16"/>
        </w:rPr>
        <w:t xml:space="preserve">[6] </w:t>
      </w:r>
      <w:r>
        <w:rPr>
          <w:sz w:val="16"/>
        </w:rPr>
        <w:t>Mifsud X.; Grech L.; Baldacchino A.; Keller L.; Valentino G.; Muscat A., "Receipt Information Extraction with Joint Multi-Modal Transformer and Rule-Based Model," Machine Learning and Knowledge Extraction, 2025, doi: 10.3390/make7040167.</w:t>
      </w:r>
    </w:p>
    <w:p>
      <w:pPr>
        <w:spacing w:line="240" w:lineRule="auto" w:before="0" w:after="40"/>
        <w:ind w:left="432" w:hanging="432"/>
        <w:jc w:val="both"/>
      </w:pPr>
      <w:r>
        <w:rPr>
          <w:b/>
          <w:sz w:val="16"/>
        </w:rPr>
        <w:t xml:space="preserve">[7] </w:t>
      </w:r>
      <w:r>
        <w:rPr>
          <w:sz w:val="16"/>
        </w:rPr>
        <w:t>Yu J.-M.; Ma H.-J.; Kong J.-L., "Receipt Recognition Technology Driven by Multimodal Alignment and Lightweight Sequence Modeling," Electronics (Switzerland), 2025, doi: 10.3390/electronics14091717.</w:t>
      </w:r>
    </w:p>
    <w:p>
      <w:pPr>
        <w:spacing w:line="240" w:lineRule="auto" w:before="0" w:after="40"/>
        <w:ind w:left="432" w:hanging="432"/>
        <w:jc w:val="both"/>
      </w:pPr>
      <w:r>
        <w:rPr>
          <w:b/>
          <w:sz w:val="16"/>
        </w:rPr>
        <w:t xml:space="preserve">[8] </w:t>
      </w:r>
      <w:r>
        <w:rPr>
          <w:sz w:val="16"/>
        </w:rPr>
        <w:t>Sassioui A.; Elouargui Y.; El Kamili M.; Benouini R.; Mehdi Benyoussef E.; Chergui M.; Ouzzif M., "LMGDoc: Light Multigranular GNN for Efficient Document Understanding," IEEE Access, 2025, doi: 10.1109/access.2025.3568628.</w:t>
      </w:r>
    </w:p>
    <w:p>
      <w:pPr>
        <w:spacing w:line="240" w:lineRule="auto" w:before="0" w:after="40"/>
        <w:ind w:left="432" w:hanging="432"/>
        <w:jc w:val="both"/>
      </w:pPr>
      <w:r>
        <w:rPr>
          <w:b/>
          <w:sz w:val="16"/>
        </w:rPr>
        <w:t xml:space="preserve">[9] </w:t>
      </w:r>
      <w:r>
        <w:rPr>
          <w:sz w:val="16"/>
        </w:rPr>
        <w:t>Luo C.; Tang G.; Zheng Q.; Yao C.; Jin L.; Li C.; Xue Y.; Si L., "Bi-VLDoc: bidirectional vision-language modeling for visually-rich document understanding," International Journal on Document Analysis and Recognition, 2025, doi: 10.1007/s10032-025-00518-w.</w:t>
      </w:r>
    </w:p>
    <w:p>
      <w:pPr>
        <w:spacing w:line="240" w:lineRule="auto" w:before="0" w:after="40"/>
        <w:ind w:left="432" w:hanging="432"/>
        <w:jc w:val="both"/>
      </w:pPr>
      <w:r>
        <w:rPr>
          <w:b/>
          <w:sz w:val="16"/>
        </w:rPr>
        <w:t xml:space="preserve">[10] </w:t>
      </w:r>
      <w:r>
        <w:rPr>
          <w:sz w:val="16"/>
        </w:rPr>
        <w:t>Tiwari D.; Gupta A.; Soni R., "DNN-HHOA: Deep Neural Network Optimization-Based Tabular Data Extraction from Compound Document Images," International Journal of Image and Graphics, 2025, doi: 10.1142/s021946782550010x.</w:t>
      </w:r>
    </w:p>
    <w:p>
      <w:pPr>
        <w:spacing w:line="240" w:lineRule="auto" w:before="0" w:after="40"/>
        <w:ind w:left="432" w:hanging="432"/>
        <w:jc w:val="both"/>
      </w:pPr>
      <w:r>
        <w:rPr>
          <w:b/>
          <w:sz w:val="16"/>
        </w:rPr>
        <w:t xml:space="preserve">[11] </w:t>
      </w:r>
      <w:r>
        <w:rPr>
          <w:sz w:val="16"/>
        </w:rPr>
        <w:t>Xiao B.; Simsek M.; Kantarci B.; Alkheir A.A., "Rethinking detection based table structure recognition for visually rich document images," Expert Systems with Applications, 2025, doi: 10.1016/j.eswa.2025.126461.</w:t>
      </w:r>
    </w:p>
    <w:p>
      <w:pPr>
        <w:spacing w:line="240" w:lineRule="auto" w:before="0" w:after="40"/>
        <w:ind w:left="432" w:hanging="432"/>
        <w:jc w:val="both"/>
      </w:pPr>
      <w:r>
        <w:rPr>
          <w:b/>
          <w:sz w:val="16"/>
        </w:rPr>
        <w:t xml:space="preserve">[12] </w:t>
      </w:r>
      <w:r>
        <w:rPr>
          <w:sz w:val="16"/>
        </w:rPr>
        <w:t>Iqbal M.Z.; Garg N.; Ahmed S.B., "Table Extraction with Table Data Using VGG-19 Deep Learning Model," Sensors, 2025, doi: 10.3390/s25010203.</w:t>
      </w:r>
    </w:p>
    <w:p>
      <w:pPr>
        <w:spacing w:line="240" w:lineRule="auto" w:before="0" w:after="40"/>
        <w:ind w:left="432" w:hanging="432"/>
        <w:jc w:val="both"/>
      </w:pPr>
      <w:r>
        <w:rPr>
          <w:b/>
          <w:sz w:val="16"/>
        </w:rPr>
        <w:t xml:space="preserve">[13] </w:t>
      </w:r>
      <w:r>
        <w:rPr>
          <w:sz w:val="16"/>
        </w:rPr>
        <w:t>Wang Y.; Lv W.; Wu W.; Xie G.; Lu B.; Wang C.; Zhan C.; Su B., "TransTab: A transformer-based approach for table detection and tabular data extraction from scanned document images," Machine Learning with Applications, 2025, doi: 10.1016/j.mlwa.2025.100665.</w:t>
      </w:r>
    </w:p>
    <w:p>
      <w:pPr>
        <w:spacing w:line="240" w:lineRule="auto" w:before="0" w:after="40"/>
        <w:ind w:left="432" w:hanging="432"/>
        <w:jc w:val="both"/>
      </w:pPr>
      <w:r>
        <w:rPr>
          <w:b/>
          <w:sz w:val="16"/>
        </w:rPr>
        <w:t xml:space="preserve">[14] </w:t>
      </w:r>
      <w:r>
        <w:rPr>
          <w:sz w:val="16"/>
        </w:rPr>
        <w:t>Gonçalves Lima V.; Alves Pereira D., "UFLA-FORMS: an academic forms dataset for information extraction in the Portuguese language," Language Resources and Evaluation, 2025, doi: 10.1007/s10579-024-09802-3.</w:t>
      </w:r>
    </w:p>
    <w:p>
      <w:pPr>
        <w:spacing w:line="240" w:lineRule="auto" w:before="0" w:after="40"/>
        <w:ind w:left="432" w:hanging="432"/>
        <w:jc w:val="both"/>
      </w:pPr>
      <w:r>
        <w:rPr>
          <w:b/>
          <w:sz w:val="16"/>
        </w:rPr>
        <w:t xml:space="preserve">[15] </w:t>
      </w:r>
      <w:r>
        <w:rPr>
          <w:sz w:val="16"/>
        </w:rPr>
        <w:t>Alsayed A.; Li C.; Abdalsalam M.; Fat’hAlalim A., "A hybrid model for Arabic character recognition using CNN and Kolmogorov Arnold Networks (KANs)," Multimedia Tools and Applications, 2025, doi: 10.1007/s11042-025-20934-8.</w:t>
      </w:r>
    </w:p>
    <w:p>
      <w:pPr>
        <w:spacing w:line="240" w:lineRule="auto" w:before="0" w:after="40"/>
        <w:ind w:left="432" w:hanging="432"/>
        <w:jc w:val="both"/>
      </w:pPr>
      <w:r>
        <w:rPr>
          <w:b/>
          <w:sz w:val="16"/>
        </w:rPr>
        <w:t xml:space="preserve">[16] </w:t>
      </w:r>
      <w:r>
        <w:rPr>
          <w:sz w:val="16"/>
        </w:rPr>
        <w:t>Saeed B.; Muhammad S.; Ullah K.; Namoun A.; Khan A.; Syed I.; Ullah S.S.; Hussain I., "Deep Learning-Based Detection of One and Two-Column Textual Blocks in Camera-Captured Pashto Documents Images," IEEE Access, 2025, doi: 10.1109/access.2025.3531713.</w:t>
      </w:r>
    </w:p>
    <w:p>
      <w:pPr>
        <w:spacing w:line="240" w:lineRule="auto" w:before="0" w:after="40"/>
        <w:ind w:left="432" w:hanging="432"/>
        <w:jc w:val="both"/>
      </w:pPr>
      <w:r>
        <w:rPr>
          <w:b/>
          <w:sz w:val="16"/>
        </w:rPr>
        <w:t xml:space="preserve">[17] </w:t>
      </w:r>
      <w:r>
        <w:rPr>
          <w:sz w:val="16"/>
        </w:rPr>
        <w:t>Abdalla M.; Kasem M.S.; Mahmoud M.; Yagoub B.; Senussi M.F.; Abdallah A.; Hun Kang S.; Kang H.S., "ReceiptQA: A Question-Answering Dataset for Receipt Understanding," Mathematics, 2025, doi: 10.3390/math13111760.</w:t>
      </w:r>
    </w:p>
    <w:p>
      <w:pPr>
        <w:spacing w:line="240" w:lineRule="auto" w:before="0" w:after="40"/>
        <w:ind w:left="432" w:hanging="432"/>
        <w:jc w:val="both"/>
      </w:pPr>
      <w:r>
        <w:rPr>
          <w:b/>
          <w:sz w:val="16"/>
        </w:rPr>
        <w:t xml:space="preserve">[18] </w:t>
      </w:r>
      <w:r>
        <w:rPr>
          <w:sz w:val="16"/>
        </w:rPr>
        <w:t>Zhang L.; Wang Y.; Yang N.; Jiang B., "Res-THL: multimodal pre-training models for document understanding," International Journal of Wireless and Mobile Computing, 2025, doi: 10.1504/ijwmc.2025.148584.</w:t>
      </w:r>
    </w:p>
    <w:p>
      <w:pPr>
        <w:spacing w:line="240" w:lineRule="auto" w:before="0" w:after="40"/>
        <w:ind w:left="432" w:hanging="432"/>
        <w:jc w:val="both"/>
      </w:pPr>
      <w:r>
        <w:rPr>
          <w:b/>
          <w:sz w:val="16"/>
        </w:rPr>
        <w:t xml:space="preserve">[19] </w:t>
      </w:r>
      <w:r>
        <w:rPr>
          <w:sz w:val="16"/>
        </w:rPr>
        <w:t>Hu R.; Yang Y.; Liu S.; Li Z.; Liu J.; Ding X.; Sun H.; Ren L., "Large language model driven transferable key information extraction mechanism for nonstandardized tables," Scientific Reports, 2025, doi: 10.1038/s41598-025-15627-z.</w:t>
      </w:r>
    </w:p>
    <w:p>
      <w:pPr>
        <w:spacing w:line="240" w:lineRule="auto" w:before="0" w:after="40"/>
        <w:ind w:left="432" w:hanging="432"/>
        <w:jc w:val="both"/>
      </w:pPr>
      <w:r>
        <w:rPr>
          <w:b/>
          <w:sz w:val="16"/>
        </w:rPr>
        <w:t xml:space="preserve">[20] </w:t>
      </w:r>
      <w:r>
        <w:rPr>
          <w:sz w:val="16"/>
        </w:rPr>
        <w:t>Yang X., "Financial fraud identification and economic impact analysis based on machine vision technology," Journal of Computational Methods in Sciences and Engineering, 2025, doi: 10.1177/14727978251346036.</w:t>
      </w:r>
    </w:p>
    <w:p>
      <w:pPr>
        <w:spacing w:line="240" w:lineRule="auto" w:before="0" w:after="40"/>
        <w:ind w:left="432" w:hanging="432"/>
        <w:jc w:val="both"/>
      </w:pPr>
      <w:r>
        <w:rPr>
          <w:b/>
          <w:sz w:val="16"/>
        </w:rPr>
        <w:t xml:space="preserve">[21] </w:t>
      </w:r>
      <w:r>
        <w:rPr>
          <w:sz w:val="16"/>
        </w:rPr>
        <w:t>Zingerenko M.; Limonova E.; Arlazarov V.V., "Template-based text field segmentation for ID documents using dynamic squeezeboxes packing," Multimedia Tools and Applications, 2025, doi: 10.1007/s11042-024-20162-6.</w:t>
      </w:r>
    </w:p>
    <w:p>
      <w:pPr>
        <w:spacing w:line="240" w:lineRule="auto" w:before="0" w:after="40"/>
        <w:ind w:left="432" w:hanging="432"/>
        <w:jc w:val="both"/>
      </w:pPr>
      <w:r>
        <w:rPr>
          <w:b/>
          <w:sz w:val="16"/>
        </w:rPr>
        <w:t xml:space="preserve">[22] </w:t>
      </w:r>
      <w:r>
        <w:rPr>
          <w:sz w:val="16"/>
        </w:rPr>
        <w:t>Tanasa A.-M.; Oprea S.-V., "Rethinking Chart Understanding Using Multimodal Large Language Models," Computers, Materials and Continua, 2025, doi: 10.32604/cmc.2025.065421.</w:t>
      </w:r>
    </w:p>
    <w:p>
      <w:pPr>
        <w:spacing w:line="240" w:lineRule="auto" w:before="0" w:after="40"/>
        <w:ind w:left="432" w:hanging="432"/>
        <w:jc w:val="both"/>
      </w:pPr>
      <w:r>
        <w:rPr>
          <w:b/>
          <w:sz w:val="16"/>
        </w:rPr>
        <w:t xml:space="preserve">[23] </w:t>
      </w:r>
      <w:r>
        <w:rPr>
          <w:sz w:val="16"/>
        </w:rPr>
        <w:t>Mao Q.; Li J.; Zhou H.; Kar P.; Bellotti A.G., "ALDII: Adaptive Learning-based Document Image Inpainting to enhance the handwritten Chinese character legibility of human and machine," Neurocomputing, 2025, doi: 10.1016/j.neucom.2024.128897.</w:t>
      </w:r>
    </w:p>
    <w:p>
      <w:pPr>
        <w:spacing w:line="240" w:lineRule="auto" w:before="0" w:after="40"/>
        <w:ind w:left="432" w:hanging="432"/>
        <w:jc w:val="both"/>
      </w:pPr>
      <w:r>
        <w:rPr>
          <w:b/>
          <w:sz w:val="16"/>
        </w:rPr>
        <w:t xml:space="preserve">[24] </w:t>
      </w:r>
      <w:r>
        <w:rPr>
          <w:sz w:val="16"/>
        </w:rPr>
        <w:t>Jeong Y.-B.; Seo H.-I.; Kim Y.-H.; Kim W.-Y., "Retrieval-augmented visual parcel invoice understanding transformer for address correction," Engineering Applications of Artificial Intelligence, 2025, doi: 10.1016/j.engappai.2025.111542.</w:t>
      </w:r>
    </w:p>
    <w:p>
      <w:pPr>
        <w:spacing w:line="240" w:lineRule="auto" w:before="0" w:after="40"/>
        <w:ind w:left="432" w:hanging="432"/>
        <w:jc w:val="both"/>
      </w:pPr>
      <w:r>
        <w:rPr>
          <w:b/>
          <w:sz w:val="16"/>
        </w:rPr>
        <w:t xml:space="preserve">[25] </w:t>
      </w:r>
      <w:r>
        <w:rPr>
          <w:sz w:val="16"/>
        </w:rPr>
        <w:t>Levich S.; Knust L., "Discriminative meets generative: Automated information retrieval from unstructured corporate documents via (large) language models," International Journal of Accounting Information Systems, 2025, doi: 10.1016/j.accinf.2025.100750.</w:t>
      </w:r>
    </w:p>
    <w:p>
      <w:pPr>
        <w:spacing w:line="240" w:lineRule="auto" w:before="0" w:after="40"/>
        <w:ind w:left="432" w:hanging="432"/>
        <w:jc w:val="both"/>
      </w:pPr>
      <w:r>
        <w:rPr>
          <w:b/>
          <w:sz w:val="16"/>
        </w:rPr>
        <w:t xml:space="preserve">[26] </w:t>
      </w:r>
      <w:r>
        <w:rPr>
          <w:sz w:val="16"/>
        </w:rPr>
        <w:t>Zhang W.; Zheng Y.; Chen J., "Multimodal Information Extraction From Visually Rich Documents With Adaptive Graph Integration Network," IEEE Access, 2025, doi: 10.1109/access.2025.3619974.</w:t>
      </w:r>
    </w:p>
    <w:p>
      <w:pPr>
        <w:spacing w:line="240" w:lineRule="auto" w:before="0" w:after="40"/>
        <w:ind w:left="432" w:hanging="432"/>
        <w:jc w:val="both"/>
      </w:pPr>
      <w:r>
        <w:rPr>
          <w:b/>
          <w:sz w:val="16"/>
        </w:rPr>
        <w:t xml:space="preserve">[27] </w:t>
      </w:r>
      <w:r>
        <w:rPr>
          <w:sz w:val="16"/>
        </w:rPr>
        <w:t>Lin, YM; Hasan, M; Kosalge, R; Cheung, A; Parameswaran, AG, "Visual Template Inference for Data Extraction from Documents," PROCEEDINGS OF THE ACM ON MANAGEMENT OF DATA, 2025, doi: 10.1145/3769840.</w:t>
      </w:r>
    </w:p>
    <w:p>
      <w:pPr>
        <w:spacing w:line="240" w:lineRule="auto" w:before="0" w:after="40"/>
        <w:ind w:left="432" w:hanging="432"/>
        <w:jc w:val="both"/>
      </w:pPr>
      <w:r>
        <w:rPr>
          <w:b/>
          <w:sz w:val="16"/>
        </w:rPr>
        <w:t xml:space="preserve">[28] </w:t>
      </w:r>
      <w:r>
        <w:rPr>
          <w:sz w:val="16"/>
        </w:rPr>
        <w:t>Liu Z., "Accounting-Oriented Research on Note Recognition Model based on Information Extraction Algorithm," WSEAS Transactions on Business and Economics, 2024, doi: 10.37394/23207.2024.21.216.</w:t>
      </w:r>
    </w:p>
    <w:p>
      <w:pPr>
        <w:spacing w:line="240" w:lineRule="auto" w:before="0" w:after="40"/>
        <w:ind w:left="432" w:hanging="432"/>
        <w:jc w:val="both"/>
      </w:pPr>
      <w:r>
        <w:rPr>
          <w:b/>
          <w:sz w:val="16"/>
        </w:rPr>
        <w:t xml:space="preserve">[29] </w:t>
      </w:r>
      <w:r>
        <w:rPr>
          <w:sz w:val="16"/>
        </w:rPr>
        <w:t>Yao M.; Liu Z.; Zhuang L.; Wang L.; Li H., "A Robust Framework for One-Shot Key Information Extraction via Deep Partial Graph Matching," IEEE Transactions on Image Processing, 2024, doi: 10.1109/tip.2024.3357251.</w:t>
      </w:r>
    </w:p>
    <w:p>
      <w:pPr>
        <w:spacing w:line="240" w:lineRule="auto" w:before="0" w:after="40"/>
        <w:ind w:left="432" w:hanging="432"/>
        <w:jc w:val="both"/>
      </w:pPr>
      <w:r>
        <w:rPr>
          <w:b/>
          <w:sz w:val="16"/>
        </w:rPr>
        <w:t xml:space="preserve">[30] </w:t>
      </w:r>
      <w:r>
        <w:rPr>
          <w:sz w:val="16"/>
        </w:rPr>
        <w:t>Zhou H.; Shao L.; Zhang H., "SRRNet: A Transformer Structure with Adaptive 2-D Spatial Attention Mechanism for Cell Phone-Captured Shopping Receipt Recognition," IEEE Transactions on Consumer Electronics, 2024, doi: 10.1109/tce.2022.3229438.</w:t>
      </w:r>
    </w:p>
    <w:p>
      <w:pPr>
        <w:spacing w:line="240" w:lineRule="auto" w:before="0" w:after="40"/>
        <w:ind w:left="432" w:hanging="432"/>
        <w:jc w:val="both"/>
      </w:pPr>
      <w:r>
        <w:rPr>
          <w:b/>
          <w:sz w:val="16"/>
        </w:rPr>
        <w:t xml:space="preserve">[31] </w:t>
      </w:r>
      <w:r>
        <w:rPr>
          <w:sz w:val="16"/>
        </w:rPr>
        <w:t>Tiwari D.; Gupta A., "Table structure recognition using black widow based mutual exclusion and RESNET attention model," Journal of Intelligent and Fuzzy Systems, 2024, doi: 10.3233/jifs-232646.</w:t>
      </w:r>
    </w:p>
    <w:p>
      <w:pPr>
        <w:spacing w:line="240" w:lineRule="auto" w:before="0" w:after="40"/>
        <w:ind w:left="432" w:hanging="432"/>
        <w:jc w:val="both"/>
      </w:pPr>
      <w:r>
        <w:rPr>
          <w:b/>
          <w:sz w:val="16"/>
        </w:rPr>
        <w:t xml:space="preserve">[32] </w:t>
      </w:r>
      <w:r>
        <w:rPr>
          <w:sz w:val="16"/>
        </w:rPr>
        <w:t>Jia M.; Yu W.; Ma K.; Fang T.; Li C., "Leopard: A Vision Language Model for Text-Rich Multi-Image Tasks," Transactions on Machine Learning Research, 2025, ISSN: 2835-8856. [Online]. Available: https://jmlr.org/tmlr/papers/.</w:t>
      </w:r>
    </w:p>
    <w:p>
      <w:pPr>
        <w:spacing w:line="240" w:lineRule="auto" w:before="0" w:after="40"/>
        <w:ind w:left="432" w:hanging="432"/>
        <w:jc w:val="both"/>
      </w:pPr>
      <w:r>
        <w:rPr>
          <w:b/>
          <w:sz w:val="16"/>
        </w:rPr>
        <w:t xml:space="preserve">[33] </w:t>
      </w:r>
      <w:r>
        <w:rPr>
          <w:sz w:val="16"/>
        </w:rPr>
        <w:t>Gemelli A.; Marinai S.; Pisaneschi L.; Santoni F., "Datasets and annotations for layout analysis of scientific articles," International Journal on Document Analysis and Recognition, 2024, doi: 10.1007/s10032-024-00461-2.</w:t>
      </w:r>
    </w:p>
    <w:p>
      <w:pPr>
        <w:spacing w:line="240" w:lineRule="auto" w:before="0" w:after="40"/>
        <w:ind w:left="432" w:hanging="432"/>
        <w:jc w:val="both"/>
      </w:pPr>
      <w:r>
        <w:rPr>
          <w:b/>
          <w:sz w:val="16"/>
        </w:rPr>
        <w:t xml:space="preserve">[34] </w:t>
      </w:r>
      <w:r>
        <w:rPr>
          <w:sz w:val="16"/>
        </w:rPr>
        <w:t>Guo P.; Song Y.; Deng Y.; Xie K.-K.; Xu M.; Liu J.; Ren H., "DCMAI: A Dynamical Cross-Modal Alignment Interaction Framework for Document Key Information Extraction," IEEE Transactions on Circuits and Systems for Video Technology, 2024, doi: 10.1109/tcsvt.2023.3287296.</w:t>
      </w:r>
    </w:p>
    <w:p>
      <w:pPr>
        <w:spacing w:line="240" w:lineRule="auto" w:before="0" w:after="40"/>
        <w:ind w:left="432" w:hanging="432"/>
        <w:jc w:val="both"/>
      </w:pPr>
      <w:r>
        <w:rPr>
          <w:b/>
          <w:sz w:val="16"/>
        </w:rPr>
        <w:t xml:space="preserve">[35] </w:t>
      </w:r>
      <w:r>
        <w:rPr>
          <w:sz w:val="16"/>
        </w:rPr>
        <w:t>Fernandes J.; Xiao B.; Simsek M.; Kantarci B.; Khan S.; Alkheir A.A., "TableStrRec: framework for table structure recognition in data sheet images," International Journal on Document Analysis and Recognition, 2024, doi: 10.1007/s10032-023-00453-8.</w:t>
      </w:r>
    </w:p>
    <w:p>
      <w:pPr>
        <w:spacing w:line="240" w:lineRule="auto" w:before="0" w:after="40"/>
        <w:ind w:left="432" w:hanging="432"/>
        <w:jc w:val="both"/>
      </w:pPr>
      <w:r>
        <w:rPr>
          <w:b/>
          <w:sz w:val="16"/>
        </w:rPr>
        <w:t xml:space="preserve">[36] </w:t>
      </w:r>
      <w:r>
        <w:rPr>
          <w:sz w:val="16"/>
        </w:rPr>
        <w:t>Luo S.; Yu J., "SGFNet: A semantic graph-based multimodal network for financial invoice information extraction," Expert Systems with Applications, 2024, doi: 10.1016/j.eswa.2024.125156.</w:t>
      </w:r>
    </w:p>
    <w:p>
      <w:pPr>
        <w:spacing w:line="240" w:lineRule="auto" w:before="0" w:after="40"/>
        <w:ind w:left="432" w:hanging="432"/>
        <w:jc w:val="both"/>
      </w:pPr>
      <w:r>
        <w:rPr>
          <w:b/>
          <w:sz w:val="16"/>
        </w:rPr>
        <w:t xml:space="preserve">[37] </w:t>
      </w:r>
      <w:r>
        <w:rPr>
          <w:sz w:val="16"/>
        </w:rPr>
        <w:t>Chen Z.; Wang W.; Tian H.; Ye S.; Gao Z.; Cui E.; Tong W.; Hu K.; Luo J.; Ma Z.; Ma J.; Wang J.; Dong X.; Yan H.; Guo H.; He C.; Shi B.; Jin Z.; Xu C.; Wang B.; Wei X.; Li W.; Zhang W.; Zhang B.; Cai P.; Wen L.; Yan X.; Dou M.; Lu L.; Zhu X.; Lu T.; Lin D.; Qiao Y.; Dai J.; Wang W., "How far are we to GPT-4V? Closing the gap to commercial multimodal models with open-source suites," Science China Information Sciences, 2024, doi: 10.1007/s11432-024-4231-5.</w:t>
      </w:r>
    </w:p>
    <w:p>
      <w:pPr>
        <w:spacing w:line="240" w:lineRule="auto" w:before="0" w:after="40"/>
        <w:ind w:left="432" w:hanging="432"/>
        <w:jc w:val="both"/>
      </w:pPr>
      <w:r>
        <w:rPr>
          <w:b/>
          <w:sz w:val="16"/>
        </w:rPr>
        <w:t xml:space="preserve">[38] </w:t>
      </w:r>
      <w:r>
        <w:rPr>
          <w:sz w:val="16"/>
        </w:rPr>
        <w:t>Gbada H.; Kalti K.; Mahjoub M.A., "Multimodal weighted graph representation for information extraction from visually rich documents," Neurocomputing, 2024, doi: 10.1016/j.neucom.2023.127223.</w:t>
      </w:r>
    </w:p>
    <w:p>
      <w:pPr>
        <w:spacing w:line="240" w:lineRule="auto" w:before="0" w:after="40"/>
        <w:ind w:left="432" w:hanging="432"/>
        <w:jc w:val="both"/>
      </w:pPr>
      <w:r>
        <w:rPr>
          <w:b/>
          <w:sz w:val="16"/>
        </w:rPr>
        <w:t xml:space="preserve">[39] </w:t>
      </w:r>
      <w:r>
        <w:rPr>
          <w:sz w:val="16"/>
        </w:rPr>
        <w:t>Hertlein F.; Naumann A.; Philipp P., "Inv3D: a high-resolution 3D invoice dataset for template-guided single-image document unwarping," International Journal on Document Analysis and Recognition, 2023, doi: 10.1007/s10032-023-00434-x.</w:t>
      </w:r>
    </w:p>
    <w:p>
      <w:pPr>
        <w:spacing w:line="240" w:lineRule="auto" w:before="0" w:after="40"/>
        <w:ind w:left="432" w:hanging="432"/>
        <w:jc w:val="both"/>
      </w:pPr>
      <w:r>
        <w:rPr>
          <w:b/>
          <w:sz w:val="16"/>
        </w:rPr>
        <w:t xml:space="preserve">[40] </w:t>
      </w:r>
      <w:r>
        <w:rPr>
          <w:sz w:val="16"/>
        </w:rPr>
        <w:t>Nguyen-Trong K.; Trinh T., "Information extraction from Visually Rich Documents using graph convolutional network," Journal of Intelligent and Fuzzy Systems, 2023, doi: 10.3233/jifs-230204.</w:t>
      </w:r>
    </w:p>
    <w:p>
      <w:pPr>
        <w:spacing w:line="240" w:lineRule="auto" w:before="0" w:after="40"/>
        <w:ind w:left="432" w:hanging="432"/>
        <w:jc w:val="both"/>
      </w:pPr>
      <w:r>
        <w:rPr>
          <w:b/>
          <w:sz w:val="16"/>
        </w:rPr>
        <w:t xml:space="preserve">[41] </w:t>
      </w:r>
      <w:r>
        <w:rPr>
          <w:sz w:val="16"/>
        </w:rPr>
        <w:t>Ma C.; Lin W.; Sun L.; Huo Q., "Robust Table Detection and Structure Recognition from Heterogeneous Document Images," Pattern Recognition, 2023, doi: 10.1016/j.patcog.2022.109006.</w:t>
      </w:r>
    </w:p>
    <w:p>
      <w:pPr>
        <w:spacing w:line="240" w:lineRule="auto" w:before="0" w:after="40"/>
        <w:ind w:left="432" w:hanging="432"/>
        <w:jc w:val="both"/>
      </w:pPr>
      <w:r>
        <w:rPr>
          <w:b/>
          <w:sz w:val="16"/>
        </w:rPr>
        <w:t xml:space="preserve">[42] </w:t>
      </w:r>
      <w:r>
        <w:rPr>
          <w:sz w:val="16"/>
        </w:rPr>
        <w:t>Cho S.; Moon J.; Bae J.; Kang J.; Lee S., "A Framework for Understanding Unstructured Financial Documents Using RPA and Multimodal Approach," Electronics (Switzerland), 2023, doi: 10.3390/electronics12040939.</w:t>
      </w:r>
    </w:p>
    <w:p>
      <w:pPr>
        <w:spacing w:line="240" w:lineRule="auto" w:before="0" w:after="40"/>
        <w:ind w:left="432" w:hanging="432"/>
        <w:jc w:val="both"/>
      </w:pPr>
      <w:r>
        <w:rPr>
          <w:b/>
          <w:sz w:val="16"/>
        </w:rPr>
        <w:t xml:space="preserve">[43] </w:t>
      </w:r>
      <w:r>
        <w:rPr>
          <w:sz w:val="16"/>
        </w:rPr>
        <w:t>Zhang Z.; Ma J.; Du J.; Wang L.; Zhang J., "Multimodal Pre-Training Based on Graph Attention Network for Document Understanding," IEEE Transactions on Multimedia, 2023, doi: 10.1109/tmm.2022.3214102.</w:t>
      </w:r>
    </w:p>
    <w:p>
      <w:pPr>
        <w:spacing w:line="240" w:lineRule="auto" w:before="0" w:after="40"/>
        <w:ind w:left="432" w:hanging="432"/>
        <w:jc w:val="both"/>
      </w:pPr>
      <w:r>
        <w:rPr>
          <w:b/>
          <w:sz w:val="16"/>
        </w:rPr>
        <w:t xml:space="preserve">[44] </w:t>
      </w:r>
      <w:r>
        <w:rPr>
          <w:sz w:val="16"/>
        </w:rPr>
        <w:t>Manjunath A.A.; Nayak M.S.; Nishith S.; Pandit S.N.; Sunkad S.; Deenadhayalan P.; Gangadhara S., "Automated invoice data extraction using image processing," IAES International Journal of Artificial Intelligence, 2023, doi: 10.11591/ijai.v12.i2.pp514-521.</w:t>
      </w:r>
    </w:p>
    <w:p>
      <w:pPr>
        <w:spacing w:line="240" w:lineRule="auto" w:before="0" w:after="40"/>
        <w:ind w:left="432" w:hanging="432"/>
        <w:jc w:val="both"/>
      </w:pPr>
      <w:r>
        <w:rPr>
          <w:b/>
          <w:sz w:val="16"/>
        </w:rPr>
        <w:t xml:space="preserve">[45] </w:t>
      </w:r>
      <w:r>
        <w:rPr>
          <w:sz w:val="16"/>
        </w:rPr>
        <w:t>Guha A.; Samanta D.; Islam S.H., "IIRM: Intelligent Information Retrieval Model for Structured Documents by One-Shot Training Using Computer Vision," Arabian Journal for Science and Engineering, 2023, doi: 10.1007/s13369-022-06735-3.</w:t>
      </w:r>
    </w:p>
    <w:p>
      <w:pPr>
        <w:spacing w:line="240" w:lineRule="auto" w:before="0" w:after="40"/>
        <w:ind w:left="432" w:hanging="432"/>
        <w:jc w:val="both"/>
      </w:pPr>
      <w:r>
        <w:rPr>
          <w:b/>
          <w:sz w:val="16"/>
        </w:rPr>
        <w:t xml:space="preserve">[46] </w:t>
      </w:r>
      <w:r>
        <w:rPr>
          <w:sz w:val="16"/>
        </w:rPr>
        <w:t>Namysł M.; Esser A.M.; Behnke S.; Köhler J., "Flexible Hybrid Table Recognition and Semantic Interpretation System," SN Computer Science, 2023, doi: 10.1007/s42979-022-01659-z.</w:t>
      </w:r>
    </w:p>
    <w:p>
      <w:pPr>
        <w:spacing w:line="240" w:lineRule="auto" w:before="0" w:after="40"/>
        <w:ind w:left="432" w:hanging="432"/>
        <w:jc w:val="both"/>
      </w:pPr>
      <w:r>
        <w:rPr>
          <w:b/>
          <w:sz w:val="16"/>
        </w:rPr>
        <w:t xml:space="preserve">[47] </w:t>
      </w:r>
      <w:r>
        <w:rPr>
          <w:sz w:val="16"/>
        </w:rPr>
        <w:t>Chu J.S.; Pyo B.; Parth V.; Hussein A.; Wang P., "Key-Value Pair Identification from Tables Using Multimodal Learning," International Journal of Pattern Recognition and Artificial Intelligence, 2023, doi: 10.1142/s0218001423520092.</w:t>
      </w:r>
    </w:p>
    <w:p>
      <w:pPr>
        <w:spacing w:line="240" w:lineRule="auto" w:before="0" w:after="40"/>
        <w:ind w:left="432" w:hanging="432"/>
        <w:jc w:val="both"/>
      </w:pPr>
      <w:r>
        <w:rPr>
          <w:b/>
          <w:sz w:val="16"/>
        </w:rPr>
        <w:t xml:space="preserve">[48] </w:t>
      </w:r>
      <w:r>
        <w:rPr>
          <w:sz w:val="16"/>
        </w:rPr>
        <w:t>Xiao B.; Simsek M.; Kantarci B.; Alkheir A.A., "Table detection for visually rich document images," Knowledge-Based Systems, 2023, doi: 10.1016/j.knosys.2023.111080.</w:t>
      </w:r>
    </w:p>
    <w:p>
      <w:pPr>
        <w:spacing w:line="240" w:lineRule="auto" w:before="0" w:after="40"/>
        <w:ind w:left="432" w:hanging="432"/>
        <w:jc w:val="both"/>
      </w:pPr>
      <w:r>
        <w:rPr>
          <w:b/>
          <w:sz w:val="16"/>
        </w:rPr>
        <w:t xml:space="preserve">[49] </w:t>
      </w:r>
      <w:r>
        <w:rPr>
          <w:sz w:val="16"/>
        </w:rPr>
        <w:t>Yang, P, "Financial Information Extraction Using the Improved Hidden Markov Model and Deep Learning," IETE JOURNAL OF RESEARCH, 2023, doi: 10.1080/03772063.2022.2054873.</w:t>
      </w:r>
    </w:p>
    <w:p>
      <w:pPr>
        <w:spacing w:line="240" w:lineRule="auto" w:before="0" w:after="40"/>
        <w:ind w:left="432" w:hanging="432"/>
        <w:jc w:val="both"/>
      </w:pPr>
      <w:r>
        <w:rPr>
          <w:b/>
          <w:sz w:val="16"/>
        </w:rPr>
        <w:t xml:space="preserve">[50] </w:t>
      </w:r>
      <w:r>
        <w:rPr>
          <w:sz w:val="16"/>
        </w:rPr>
        <w:t>Oral B.; Eryiğit G., "Fusion of visual representations for multimodal information extraction from unstructured transactional documents," International Journal on Document Analysis and Recognition, 2022, doi: 10.1007/s10032-022-00399-3.</w:t>
      </w:r>
    </w:p>
    <w:p>
      <w:pPr>
        <w:spacing w:line="240" w:lineRule="auto" w:before="0" w:after="40"/>
        <w:ind w:left="432" w:hanging="432"/>
        <w:jc w:val="both"/>
      </w:pPr>
      <w:r>
        <w:rPr>
          <w:b/>
          <w:sz w:val="16"/>
        </w:rPr>
        <w:t xml:space="preserve">[51] </w:t>
      </w:r>
      <w:r>
        <w:rPr>
          <w:sz w:val="16"/>
        </w:rPr>
        <w:t>Akkaya Y.; Simsek M.; Kantarci B.; Khan S., "On cropped versus uncropped training sets in tabular structure detection," Neurocomputing, 2022, doi: 10.1016/j.neucom.2022.09.094.</w:t>
      </w:r>
    </w:p>
    <w:p>
      <w:pPr>
        <w:spacing w:line="240" w:lineRule="auto" w:before="0" w:after="40"/>
        <w:ind w:left="432" w:hanging="432"/>
        <w:jc w:val="both"/>
      </w:pPr>
      <w:r>
        <w:rPr>
          <w:b/>
          <w:sz w:val="16"/>
        </w:rPr>
        <w:t xml:space="preserve">[52] </w:t>
      </w:r>
      <w:r>
        <w:rPr>
          <w:sz w:val="16"/>
        </w:rPr>
        <w:t>Lee E.; Park J.; Koo H.I.; Cho N.I., "Deep-learning and graph-based approach to table structure recognition," Multimedia Tools and Applications, 2022, doi: 10.1007/s11042-021-11819-7.</w:t>
      </w:r>
    </w:p>
    <w:p>
      <w:pPr>
        <w:spacing w:line="240" w:lineRule="auto" w:before="0" w:after="40"/>
        <w:ind w:left="432" w:hanging="432"/>
        <w:jc w:val="both"/>
      </w:pPr>
      <w:r>
        <w:rPr>
          <w:b/>
          <w:sz w:val="16"/>
        </w:rPr>
        <w:t xml:space="preserve">[53] </w:t>
      </w:r>
      <w:r>
        <w:rPr>
          <w:sz w:val="16"/>
        </w:rPr>
        <w:t>Biesner D.; Ramamurthy R.; Stenzel R.; Lübbering M.; Hillebrand L.; Ladi A.; Pielka M.; Loitz R.; Bauckhage C.; Sifa R., "Anonymization of German financial documents using neural network-based language models with contextual word representations," International Journal of Data Science and Analytics, 2022, doi: 10.1007/s41060-021-00285-x.</w:t>
      </w:r>
    </w:p>
    <w:p>
      <w:pPr>
        <w:spacing w:line="240" w:lineRule="auto" w:before="0" w:after="40"/>
        <w:ind w:left="432" w:hanging="432"/>
        <w:jc w:val="both"/>
      </w:pPr>
      <w:r>
        <w:rPr>
          <w:b/>
          <w:sz w:val="16"/>
        </w:rPr>
        <w:t xml:space="preserve">[54] </w:t>
      </w:r>
      <w:r>
        <w:rPr>
          <w:sz w:val="16"/>
        </w:rPr>
        <w:t>Kim C.-Y.; Jeong J.-G.; Choi S.-W.; Lee E.-B., "An AI-Based Automatic Risks Detection Solution for Plant Owner’s Technical Requirements in Equipment Purchase Order," Sustainability (Switzerland), 2022, doi: 10.3390/su141610010.</w:t>
      </w:r>
    </w:p>
    <w:p>
      <w:pPr>
        <w:spacing w:line="240" w:lineRule="auto" w:before="0" w:after="40"/>
        <w:ind w:left="432" w:hanging="432"/>
        <w:jc w:val="both"/>
      </w:pPr>
      <w:r>
        <w:rPr>
          <w:b/>
          <w:sz w:val="16"/>
        </w:rPr>
        <w:t xml:space="preserve">[55] </w:t>
      </w:r>
      <w:r>
        <w:rPr>
          <w:sz w:val="16"/>
        </w:rPr>
        <w:t>Chazhoor A.; Sarobin V.R., "Intelligent automation of invoice parsing using computer vision techniques," Multimedia Tools and Applications, 2022, doi: 10.1007/s11042-022-12916-x.</w:t>
      </w:r>
    </w:p>
    <w:p>
      <w:pPr>
        <w:spacing w:line="240" w:lineRule="auto" w:before="0" w:after="40"/>
        <w:ind w:left="432" w:hanging="432"/>
        <w:jc w:val="both"/>
      </w:pPr>
      <w:r>
        <w:rPr>
          <w:b/>
          <w:sz w:val="16"/>
        </w:rPr>
        <w:t xml:space="preserve">[56] </w:t>
      </w:r>
      <w:r>
        <w:rPr>
          <w:sz w:val="16"/>
        </w:rPr>
        <w:t>Chen Y.; Hu B.; Liu Y., "Optimizing document management and retrieval with multimodal transformers," PLOS ONE, 2025, doi: 10.1371/journal.pone.0315890.</w:t>
      </w:r>
    </w:p>
    <w:p>
      <w:pPr>
        <w:spacing w:line="240" w:lineRule="auto" w:before="0" w:after="40"/>
        <w:ind w:left="432" w:hanging="432"/>
        <w:jc w:val="both"/>
      </w:pPr>
      <w:r>
        <w:rPr>
          <w:b/>
          <w:sz w:val="16"/>
        </w:rPr>
        <w:t xml:space="preserve">[57] </w:t>
      </w:r>
      <w:r>
        <w:rPr>
          <w:sz w:val="16"/>
        </w:rPr>
        <w:t>Zhang H.; Dong B.; Zheng Q.; Feng B.; Xu B.; Wu H., "All-content text recognition method for financial ticket images," Multimedia Tools and Applications, 2022, doi: 10.1007/s11042-022-12741-2.</w:t>
      </w:r>
    </w:p>
    <w:p>
      <w:pPr>
        <w:spacing w:line="240" w:lineRule="auto" w:before="0" w:after="40"/>
        <w:ind w:left="432" w:hanging="432"/>
        <w:jc w:val="both"/>
      </w:pPr>
      <w:r>
        <w:rPr>
          <w:b/>
          <w:sz w:val="16"/>
        </w:rPr>
        <w:t xml:space="preserve">[58] </w:t>
      </w:r>
      <w:r>
        <w:rPr>
          <w:sz w:val="16"/>
        </w:rPr>
        <w:t>Sarkhel R.; Nandi A., "Improving information extraction from visually rich documents using visual span representations," Proceedings of the VLDB Endowment, 2021, doi: 10.14778/3446095.3446104.</w:t>
      </w:r>
    </w:p>
    <w:p>
      <w:pPr>
        <w:spacing w:line="240" w:lineRule="auto" w:before="0" w:after="40"/>
        <w:ind w:left="432" w:hanging="432"/>
        <w:jc w:val="both"/>
      </w:pPr>
      <w:r>
        <w:rPr>
          <w:b/>
          <w:sz w:val="16"/>
        </w:rPr>
        <w:t xml:space="preserve">[59] </w:t>
      </w:r>
      <w:r>
        <w:rPr>
          <w:sz w:val="16"/>
        </w:rPr>
        <w:t>Hashmi K.A.; Liwicki M.; Stricker D.; Afzal M.A.; Afzal M.A.; Afzal M.Z., "Current Status and Performance Analysis of Table Recognition in Document Images with Deep Neural Networks," IEEE Access, 2021, doi: 10.1109/access.2021.3087865.</w:t>
      </w:r>
    </w:p>
    <w:p>
      <w:pPr>
        <w:spacing w:line="240" w:lineRule="auto" w:before="0" w:after="40"/>
        <w:ind w:left="432" w:hanging="432"/>
        <w:jc w:val="both"/>
      </w:pPr>
      <w:r>
        <w:rPr>
          <w:b/>
          <w:sz w:val="16"/>
        </w:rPr>
        <w:t xml:space="preserve">[60] </w:t>
      </w:r>
      <w:r>
        <w:rPr>
          <w:sz w:val="16"/>
        </w:rPr>
        <w:t>Baviskar D.; Ahirrao S.; Kotecha K., "Multi-Layout Unstructured Invoice Documents Dataset: A Dataset for Template-Free Invoice Processing and Its Evaluation Using AI Approaches," IEEE Access, 2021, doi: 10.1109/access.2021.3096739.</w:t>
      </w:r>
    </w:p>
    <w:p>
      <w:pPr>
        <w:spacing w:line="240" w:lineRule="auto" w:before="0" w:after="40"/>
        <w:ind w:left="432" w:hanging="432"/>
        <w:jc w:val="both"/>
      </w:pPr>
      <w:r>
        <w:rPr>
          <w:b/>
          <w:sz w:val="16"/>
        </w:rPr>
        <w:t xml:space="preserve">[61] </w:t>
      </w:r>
      <w:r>
        <w:rPr>
          <w:sz w:val="16"/>
        </w:rPr>
        <w:t>Hashmi K.A.; Stricker D.; Liwicki M.; Afzal M.N.; Afzal M.Z., "Guided table structure recognition through anchor optimization," IEEE Access, 2021, doi: 10.1109/access.2021.3103413.</w:t>
      </w:r>
    </w:p>
    <w:p>
      <w:pPr>
        <w:spacing w:line="240" w:lineRule="auto" w:before="0" w:after="40"/>
        <w:ind w:left="432" w:hanging="432"/>
        <w:jc w:val="both"/>
      </w:pPr>
      <w:r>
        <w:rPr>
          <w:b/>
          <w:sz w:val="16"/>
        </w:rPr>
        <w:t xml:space="preserve">[62] </w:t>
      </w:r>
      <w:r>
        <w:rPr>
          <w:sz w:val="16"/>
        </w:rPr>
        <w:t>Aladhadh S.; Rehman H.U.; Qamar A.M.; Khan R.U., "Recurrent convolutional neural network MSER-based approach for payable document processing," Computers, Materials and Continua, 2021, doi: 10.32604/cmc.2021.018724.</w:t>
      </w:r>
    </w:p>
    <w:p>
      <w:pPr>
        <w:spacing w:line="240" w:lineRule="auto" w:before="0" w:after="40"/>
        <w:ind w:left="432" w:hanging="432"/>
        <w:jc w:val="both"/>
      </w:pPr>
      <w:r>
        <w:rPr>
          <w:b/>
          <w:sz w:val="16"/>
        </w:rPr>
        <w:t xml:space="preserve">[63] </w:t>
      </w:r>
      <w:r>
        <w:rPr>
          <w:sz w:val="16"/>
        </w:rPr>
        <w:t>Dergachov K.; Krasnov L.; Bilozerskyi V.; Zymovin A., "DATA PRE-PROCESSING TO INCREASE THE QUALITY OF OPTICAL TEXT RECOGNITION SYSTEMS; [ПРЕДВАРИТЕЛЬНАЯ ОБРАБОТКА ДАННЫХ ДЛЯ ПОВЫШЕНИЯ КАЧЕСТВА СИСТЕМ ОПТИЧЕСКОГО РАСПОЗНАВАНИЯ ТЕКСТА]; [ПОПЕРЕДНЯ ОБРОБКА ДАНИХ ДЛЯ ПІДВИЩЕННЯ ЯКОСТІ СИСТЕМ ОПТИЧНОГО РОЗПІЗНАВАННЯ ТЕКСТУ]," Radioelectronic and Computer Systems, 2021, doi: 10.32620/reks.2021.4.15.</w:t>
      </w:r>
    </w:p>
    <w:p>
      <w:pPr>
        <w:spacing w:line="240" w:lineRule="auto" w:before="0" w:after="40"/>
        <w:ind w:left="432" w:hanging="432"/>
        <w:jc w:val="both"/>
      </w:pPr>
      <w:r>
        <w:rPr>
          <w:b/>
          <w:sz w:val="16"/>
        </w:rPr>
        <w:t xml:space="preserve">[64] </w:t>
      </w:r>
      <w:r>
        <w:rPr>
          <w:sz w:val="16"/>
        </w:rPr>
        <w:t>Oral B.; Emekligil E.; Arslan S.; Eryiǧit G., "Information Extraction from Text Intensive and Visually Rich Banking Documents," Information Processing and Management, 2020, doi: 10.1016/j.ipm.2020.102361.</w:t>
      </w:r>
    </w:p>
    <w:p>
      <w:pPr>
        <w:spacing w:line="240" w:lineRule="auto" w:before="0" w:after="40"/>
        <w:ind w:left="432" w:hanging="432"/>
        <w:jc w:val="both"/>
      </w:pPr>
      <w:r>
        <w:rPr>
          <w:b/>
          <w:sz w:val="16"/>
        </w:rPr>
        <w:t xml:space="preserve">[65] </w:t>
      </w:r>
      <w:r>
        <w:rPr>
          <w:sz w:val="16"/>
        </w:rPr>
        <w:t>Giovannini, S; Coppini, F; Gemelli, A; Marinai, S, "BoundingDocs: a Unified Dataset for Document Question Answering with Spatial Annotations," INTERNATIONAL JOURNAL ON DOCUMENT ANALYSIS AND RECOGNITION, 2026, doi: 10.1007/s10032-025-00563-5.</w:t>
      </w:r>
    </w:p>
    <w:p>
      <w:pPr>
        <w:spacing w:line="240" w:lineRule="auto" w:before="0" w:after="40"/>
        <w:ind w:left="432" w:hanging="432"/>
        <w:jc w:val="both"/>
      </w:pPr>
      <w:r>
        <w:rPr>
          <w:b/>
          <w:sz w:val="16"/>
        </w:rPr>
        <w:t xml:space="preserve">[66] </w:t>
      </w:r>
      <w:r>
        <w:rPr>
          <w:sz w:val="16"/>
        </w:rPr>
        <w:t>Raja, S; Mondal, A; Jawahar, CV, "From pixels to tables: reconstructing complex tables from document images," INTERNATIONAL JOURNAL ON DOCUMENT ANALYSIS AND RECOGNITION, 2026, doi: 10.1007/s10032-025-00553-7.</w:t>
      </w:r>
    </w:p>
    <w:p>
      <w:pPr>
        <w:spacing w:line="240" w:lineRule="auto" w:before="0" w:after="40"/>
        <w:ind w:left="432" w:hanging="432"/>
        <w:jc w:val="both"/>
      </w:pPr>
      <w:r>
        <w:rPr>
          <w:b/>
          <w:sz w:val="16"/>
        </w:rPr>
        <w:t xml:space="preserve">[67] </w:t>
      </w:r>
      <w:r>
        <w:rPr>
          <w:sz w:val="16"/>
        </w:rPr>
        <w:t>Nguyen M.-T.; Son N.H.; Linh L.T., "Gain more with less: Extracting information from business documents with small data," Expert Systems with Applications, 2023, doi: 10.1016/j.eswa.2022.119274.</w:t>
      </w:r>
    </w:p>
    <w:p>
      <w:pPr>
        <w:spacing w:line="240" w:lineRule="auto" w:before="0" w:after="40"/>
        <w:ind w:left="432" w:hanging="432"/>
        <w:jc w:val="both"/>
      </w:pPr>
      <w:r>
        <w:rPr>
          <w:b/>
          <w:sz w:val="16"/>
        </w:rPr>
        <w:t xml:space="preserve">[68] </w:t>
      </w:r>
      <w:r>
        <w:rPr>
          <w:sz w:val="16"/>
        </w:rPr>
        <w:t>Fan J.; Wang D.; Zheng Y., "Smart Money, Greener Future: AI-Enhanced English Financial Text Processing for ESG Investment Decisions," Sustainability (Switzerland), 2025, doi: 10.3390/su17156971.</w:t>
      </w:r>
    </w:p>
    <w:p>
      <w:pPr>
        <w:spacing w:line="240" w:lineRule="auto" w:before="0" w:after="40"/>
        <w:ind w:left="432" w:hanging="432"/>
        <w:jc w:val="both"/>
      </w:pPr>
      <w:r>
        <w:rPr>
          <w:b/>
          <w:sz w:val="16"/>
        </w:rPr>
        <w:t xml:space="preserve">[69] </w:t>
      </w:r>
      <w:r>
        <w:rPr>
          <w:sz w:val="16"/>
        </w:rPr>
        <w:t>Singh D., "OCR-Driven Automation: A Case Study on Document Processing Using Tesseract and OpenCV," Dianwang Jishu/Power System Technology, 2025, doi: 10.52783/pst.1715.</w:t>
      </w:r>
    </w:p>
    <w:p>
      <w:pPr>
        <w:spacing w:line="240" w:lineRule="auto" w:before="0" w:after="40"/>
        <w:ind w:left="432" w:hanging="432"/>
        <w:jc w:val="both"/>
      </w:pPr>
      <w:r>
        <w:rPr>
          <w:b/>
          <w:sz w:val="16"/>
        </w:rPr>
        <w:t xml:space="preserve">[70] </w:t>
      </w:r>
      <w:r>
        <w:rPr>
          <w:sz w:val="16"/>
        </w:rPr>
        <w:t>Feng H.; Zhou W.; Deng J.; Wang X., "DocScanner: Robust Document Image Rectification with Progressive Deformation Field Estimation," International Journal on Document Analysis and Recognition, 2025, doi: 10.1007/s10032-024-00488-1.</w:t>
      </w:r>
    </w:p>
    <w:p>
      <w:pPr>
        <w:spacing w:line="240" w:lineRule="auto" w:before="0" w:after="40"/>
        <w:ind w:left="432" w:hanging="432"/>
        <w:jc w:val="both"/>
      </w:pPr>
      <w:r>
        <w:rPr>
          <w:b/>
          <w:sz w:val="16"/>
        </w:rPr>
        <w:t xml:space="preserve">[71] </w:t>
      </w:r>
      <w:r>
        <w:rPr>
          <w:sz w:val="16"/>
        </w:rPr>
        <w:t>Lee E.; Jo Y.; Lee S.; Kim S.H.; Cho N.I., "Single-stage table structure recognition approach via efficient sequence modeling," Pattern Recognition Letters, 2025, doi: 10.1016/j.patrec.2025.07.022.</w:t>
      </w:r>
    </w:p>
    <w:p>
      <w:pPr>
        <w:spacing w:line="240" w:lineRule="auto" w:before="0" w:after="40"/>
        <w:ind w:left="432" w:hanging="432"/>
        <w:jc w:val="both"/>
      </w:pPr>
      <w:r>
        <w:rPr>
          <w:b/>
          <w:sz w:val="16"/>
        </w:rPr>
        <w:t xml:space="preserve">[72] </w:t>
      </w:r>
      <w:r>
        <w:rPr>
          <w:sz w:val="16"/>
        </w:rPr>
        <w:t>Wadmare J.; Patil S.R.; Kolte D.; Bhatia K.; Desai P.; Wadmare G., "Transforming images into words: optical character recognition solutions for image text extraction," IAES International Journal of Artificial Intelligence, 2025, doi: 10.11591/ijai.v14.i4.pp3412-3420.</w:t>
      </w:r>
    </w:p>
    <w:p>
      <w:pPr>
        <w:spacing w:line="240" w:lineRule="auto" w:before="0" w:after="40"/>
        <w:ind w:left="432" w:hanging="432"/>
        <w:jc w:val="both"/>
      </w:pPr>
      <w:r>
        <w:rPr>
          <w:b/>
          <w:sz w:val="16"/>
        </w:rPr>
        <w:t xml:space="preserve">[73] </w:t>
      </w:r>
      <w:r>
        <w:rPr>
          <w:sz w:val="16"/>
        </w:rPr>
        <w:t>Zhang W.; Liu F.; Xu Z.; Bi Z., "Geometry-aware and autonomous reading-order learning for OCR-free document parsing," International Journal of Web Information Systems, 2025, doi: 10.1108/ijwis-07-2025-0204.</w:t>
      </w:r>
    </w:p>
    <w:p>
      <w:pPr>
        <w:spacing w:line="240" w:lineRule="auto" w:before="0" w:after="40"/>
        <w:ind w:left="432" w:hanging="432"/>
        <w:jc w:val="both"/>
      </w:pPr>
      <w:r>
        <w:rPr>
          <w:b/>
          <w:sz w:val="16"/>
        </w:rPr>
        <w:t xml:space="preserve">[74] </w:t>
      </w:r>
      <w:r>
        <w:rPr>
          <w:sz w:val="16"/>
        </w:rPr>
        <w:t>Yan Z.; Ye Z.; Ge J.; Qin J.; Liu J.; Cheng Y.; Gurrin C., "DocExtractNet: A novel framework for enhanced information extraction from business documents," Information Processing and Management, 2025, doi: 10.1016/j.ipm.2024.104046.</w:t>
      </w:r>
    </w:p>
    <w:p>
      <w:pPr>
        <w:spacing w:line="240" w:lineRule="auto" w:before="0" w:after="40"/>
        <w:ind w:left="432" w:hanging="432"/>
        <w:jc w:val="both"/>
      </w:pPr>
      <w:r>
        <w:rPr>
          <w:b/>
          <w:sz w:val="16"/>
        </w:rPr>
        <w:t xml:space="preserve">[75] </w:t>
      </w:r>
      <w:r>
        <w:rPr>
          <w:sz w:val="16"/>
        </w:rPr>
        <w:t>Tran A.C.; Le B.T.; Nguyen H.T., "Efficiency evaluation of filter sizes on graph convolutional neural networks for information extraction from receipts," International Journal of Information Technology (Singapore), 2025, doi: 10.1007/s41870-024-02089-1.</w:t>
      </w:r>
    </w:p>
    <w:p>
      <w:pPr>
        <w:spacing w:line="240" w:lineRule="auto" w:before="0" w:after="40"/>
        <w:ind w:left="432" w:hanging="432"/>
        <w:jc w:val="both"/>
      </w:pPr>
      <w:r>
        <w:rPr>
          <w:b/>
          <w:sz w:val="16"/>
        </w:rPr>
        <w:t xml:space="preserve">[76] </w:t>
      </w:r>
      <w:r>
        <w:rPr>
          <w:sz w:val="16"/>
        </w:rPr>
        <w:t>Rombach A.M.; Lahann J.; Niesen T.; Fettke P., "Utilizing Deep Learning for Field-Level Information Extraction from German Real Estate Tax Notices," Journal of Emerging Technologies in Accounting, 2025, doi: 10.2308/jeta-2023-028.</w:t>
      </w:r>
    </w:p>
    <w:p>
      <w:pPr>
        <w:spacing w:line="240" w:lineRule="auto" w:before="0" w:after="40"/>
        <w:ind w:left="432" w:hanging="432"/>
        <w:jc w:val="both"/>
      </w:pPr>
      <w:r>
        <w:rPr>
          <w:b/>
          <w:sz w:val="16"/>
        </w:rPr>
        <w:t xml:space="preserve">[77] </w:t>
      </w:r>
      <w:r>
        <w:rPr>
          <w:sz w:val="16"/>
        </w:rPr>
        <w:t>Arshad A.; Moetesum M.; Hasan A.U.; Shafait F., "A Graph-Augmented Multi-Stage Transformer Model for Document Layout Understanding," International Journal on Document Analysis and Recognition, 2025, doi: 10.1007/s10032-025-00566-2.</w:t>
      </w:r>
    </w:p>
    <w:p>
      <w:pPr>
        <w:spacing w:line="240" w:lineRule="auto" w:before="0" w:after="40"/>
        <w:ind w:left="432" w:hanging="432"/>
        <w:jc w:val="both"/>
      </w:pPr>
      <w:r>
        <w:rPr>
          <w:b/>
          <w:sz w:val="16"/>
        </w:rPr>
        <w:t xml:space="preserve">[78] </w:t>
      </w:r>
      <w:r>
        <w:rPr>
          <w:sz w:val="16"/>
        </w:rPr>
        <w:t>Wang H.; Zhou H.B.; Zhang Y.; Chen K., "Word Length-Aware Text Spotting: Enhancing Dense Text Detection and Recognition in Visually Rich Documents," IEEE Transactions on Instrumentation and Measurement, 2025, doi: 10.1109/tim.2025.3526189.</w:t>
      </w:r>
    </w:p>
    <w:p>
      <w:pPr>
        <w:spacing w:line="240" w:lineRule="auto" w:before="0" w:after="40"/>
        <w:ind w:left="432" w:hanging="432"/>
        <w:jc w:val="both"/>
      </w:pPr>
      <w:r>
        <w:rPr>
          <w:b/>
          <w:sz w:val="16"/>
        </w:rPr>
        <w:t xml:space="preserve">[79] </w:t>
      </w:r>
      <w:r>
        <w:rPr>
          <w:sz w:val="16"/>
        </w:rPr>
        <w:t>Chen Z.; Zhang Y.; Yan J.; Wei X.; Xian W.; Mao Q.; Qin Y.; Gao T., "FE-WRNet: Frequency-Enhanced Network for Visible Watermark Removal in Document Images," Applied Sciences (Switzerland), 2025, doi: 10.3390/app152212216.</w:t>
      </w:r>
    </w:p>
    <w:p>
      <w:pPr>
        <w:spacing w:line="240" w:lineRule="auto" w:before="0" w:after="40"/>
        <w:ind w:left="432" w:hanging="432"/>
        <w:jc w:val="both"/>
      </w:pPr>
      <w:r>
        <w:rPr>
          <w:b/>
          <w:sz w:val="16"/>
        </w:rPr>
        <w:t xml:space="preserve">[80] </w:t>
      </w:r>
      <w:r>
        <w:rPr>
          <w:sz w:val="16"/>
        </w:rPr>
        <w:t>Yang Z.; Hua W.; Song S.; Yao C.; Zhu Y.; Cheng W.; Bai X., "Generative compositor for few-shot visual information extraction," Pattern Recognition, 2025, doi: 10.1016/j.patcog.2025.111624.</w:t>
      </w:r>
    </w:p>
    <w:p>
      <w:pPr>
        <w:spacing w:line="240" w:lineRule="auto" w:before="0" w:after="40"/>
        <w:ind w:left="432" w:hanging="432"/>
        <w:jc w:val="both"/>
      </w:pPr>
      <w:r>
        <w:rPr>
          <w:b/>
          <w:sz w:val="16"/>
        </w:rPr>
        <w:t xml:space="preserve">[81] </w:t>
      </w:r>
      <w:r>
        <w:rPr>
          <w:sz w:val="16"/>
        </w:rPr>
        <w:t>Wang S.; Ge J.; Zhang J.; He H.; Zhang Y., "Image restoration and key field alignment for misaligned overlapping text in secondary printing document images," Frontiers in Artificial Intelligence, 2025, doi: 10.3389/frai.2025.1616007.</w:t>
      </w:r>
    </w:p>
    <w:p>
      <w:pPr>
        <w:spacing w:line="240" w:lineRule="auto" w:before="0" w:after="40"/>
        <w:ind w:left="432" w:hanging="432"/>
        <w:jc w:val="both"/>
      </w:pPr>
      <w:r>
        <w:rPr>
          <w:b/>
          <w:sz w:val="16"/>
        </w:rPr>
        <w:t xml:space="preserve">[82] </w:t>
      </w:r>
      <w:r>
        <w:rPr>
          <w:sz w:val="16"/>
        </w:rPr>
        <w:t>Zhang J.; Zhang Y., "DocRouter: Prompt guided vision transformer and Mixture of Experts connector for document understanding," Information Fusion, 2025, doi: 10.1016/j.inffus.2025.103206.</w:t>
      </w:r>
    </w:p>
    <w:p>
      <w:pPr>
        <w:spacing w:line="240" w:lineRule="auto" w:before="0" w:after="40"/>
        <w:ind w:left="432" w:hanging="432"/>
        <w:jc w:val="both"/>
      </w:pPr>
      <w:r>
        <w:rPr>
          <w:b/>
          <w:sz w:val="16"/>
        </w:rPr>
        <w:t xml:space="preserve">[83] </w:t>
      </w:r>
      <w:r>
        <w:rPr>
          <w:sz w:val="16"/>
        </w:rPr>
        <w:t>Zhang Z.; Zhu M.; Yang X.; Li T., "EJRSNet: A joint mechanism network for object detection with efficient receiving and sending of hierarchical feature information," Expert Systems with Applications, 2025, doi: 10.1016/j.eswa.2024.126375.</w:t>
      </w:r>
    </w:p>
    <w:p>
      <w:pPr>
        <w:spacing w:line="240" w:lineRule="auto" w:before="0" w:after="40"/>
        <w:ind w:left="432" w:hanging="432"/>
        <w:jc w:val="both"/>
      </w:pPr>
      <w:r>
        <w:rPr>
          <w:b/>
          <w:sz w:val="16"/>
        </w:rPr>
        <w:t xml:space="preserve">[84] </w:t>
      </w:r>
      <w:r>
        <w:rPr>
          <w:sz w:val="16"/>
        </w:rPr>
        <w:t>Gayer A.; Arlazarov V.V., "MULDT: Multilingual Ultra-Lightweight Document Text Detection for Embedded Devices," IEEE Access, 2024, doi: 10.1109/access.2024.3474616.</w:t>
      </w:r>
    </w:p>
    <w:p>
      <w:pPr>
        <w:spacing w:line="240" w:lineRule="auto" w:before="0" w:after="40"/>
        <w:ind w:left="432" w:hanging="432"/>
        <w:jc w:val="both"/>
      </w:pPr>
      <w:r>
        <w:rPr>
          <w:b/>
          <w:sz w:val="16"/>
        </w:rPr>
        <w:t xml:space="preserve">[85] </w:t>
      </w:r>
      <w:r>
        <w:rPr>
          <w:sz w:val="16"/>
        </w:rPr>
        <w:t>Zyrek M.; Tarasiewicz T.; Sadek S., "Task-Driven Real-World Super-Resolution of Document Scans," Applied Sciences, 2025, doi: 10.3390/app15020780.</w:t>
      </w:r>
    </w:p>
    <w:p>
      <w:pPr>
        <w:spacing w:line="240" w:lineRule="auto" w:before="0" w:after="40"/>
        <w:ind w:left="432" w:hanging="432"/>
        <w:jc w:val="both"/>
      </w:pPr>
      <w:r>
        <w:rPr>
          <w:b/>
          <w:sz w:val="16"/>
        </w:rPr>
        <w:t xml:space="preserve">[86] </w:t>
      </w:r>
      <w:r>
        <w:rPr>
          <w:sz w:val="16"/>
        </w:rPr>
        <w:t>Sánchez J.; Cuervo-Londoño G.A., "A Bag-of-Words Approach for Information Extraction from Electricity Invoices," AI (Switzerland), 2024, doi: 10.3390/ai5040091.</w:t>
      </w:r>
    </w:p>
    <w:p>
      <w:pPr>
        <w:spacing w:line="240" w:lineRule="auto" w:before="0" w:after="40"/>
        <w:ind w:left="432" w:hanging="432"/>
        <w:jc w:val="both"/>
      </w:pPr>
      <w:r>
        <w:rPr>
          <w:b/>
          <w:sz w:val="16"/>
        </w:rPr>
        <w:t xml:space="preserve">[87] </w:t>
      </w:r>
      <w:r>
        <w:rPr>
          <w:sz w:val="16"/>
        </w:rPr>
        <w:t>Hamri M.; Devanne M.; Weber J.; Hassenforder M., "Document Information Extraction: An Analysis of Invoice Anatomy," Applied Computational Intelligence and Soft Computing, 2024, doi: 10.1155/2024/7599415.</w:t>
      </w:r>
    </w:p>
    <w:p>
      <w:pPr>
        <w:spacing w:line="240" w:lineRule="auto" w:before="0" w:after="40"/>
        <w:ind w:left="432" w:hanging="432"/>
        <w:jc w:val="both"/>
      </w:pPr>
      <w:r>
        <w:rPr>
          <w:b/>
          <w:sz w:val="16"/>
        </w:rPr>
        <w:t xml:space="preserve">[88] </w:t>
      </w:r>
      <w:r>
        <w:rPr>
          <w:sz w:val="16"/>
        </w:rPr>
        <w:t>Kiatphaisansophon P.; Wanvarie D.; Cooharojananone N., "Efficient Text Bounding Box Identification Using Mask R-CNN: Case of Thai Documents," IEEE Access, 2024, doi: 10.1109/access.2024.3383911.</w:t>
      </w:r>
    </w:p>
    <w:p>
      <w:pPr>
        <w:spacing w:line="240" w:lineRule="auto" w:before="0" w:after="40"/>
        <w:ind w:left="432" w:hanging="432"/>
        <w:jc w:val="both"/>
      </w:pPr>
      <w:r>
        <w:rPr>
          <w:b/>
          <w:sz w:val="16"/>
        </w:rPr>
        <w:t xml:space="preserve">[89] </w:t>
      </w:r>
      <w:r>
        <w:rPr>
          <w:sz w:val="16"/>
        </w:rPr>
        <w:t>Kim S.; Lai P.; Khan D.; Zhao K.; Le B.; Luchianov A.; Yu M.; Wang P., "Configurable Customized Information Extraction and Processing Pipeline," International Journal of Pattern Recognition and Artificial Intelligence, 2024, doi: 10.1142/s0218001424590122.</w:t>
      </w:r>
    </w:p>
    <w:p>
      <w:pPr>
        <w:spacing w:line="240" w:lineRule="auto" w:before="0" w:after="40"/>
        <w:ind w:left="432" w:hanging="432"/>
        <w:jc w:val="both"/>
      </w:pPr>
      <w:r>
        <w:rPr>
          <w:b/>
          <w:sz w:val="16"/>
        </w:rPr>
        <w:t xml:space="preserve">[90] </w:t>
      </w:r>
      <w:r>
        <w:rPr>
          <w:sz w:val="16"/>
        </w:rPr>
        <w:t>Krieger F.; Drews P.; Funk B., "Automated invoice processing: Machine learning-based information extraction for long tail suppliers," Intelligent Systems with Applications, 2023, doi: 10.1016/j.iswa.2023.200285.</w:t>
      </w:r>
    </w:p>
    <w:p>
      <w:pPr>
        <w:spacing w:line="240" w:lineRule="auto" w:before="0" w:after="40"/>
        <w:ind w:left="432" w:hanging="432"/>
        <w:jc w:val="both"/>
      </w:pPr>
      <w:r>
        <w:rPr>
          <w:b/>
          <w:sz w:val="16"/>
        </w:rPr>
        <w:t xml:space="preserve">[91] </w:t>
      </w:r>
      <w:r>
        <w:rPr>
          <w:sz w:val="16"/>
        </w:rPr>
        <w:t>Chen C.-H.; Huang K.-W., "Document Classification Using Lightweight Neural Network," Journal of Internet Technology, 2023, doi: 10.53106/160792642023122407012.</w:t>
      </w:r>
    </w:p>
    <w:p>
      <w:pPr>
        <w:spacing w:line="240" w:lineRule="auto" w:before="0" w:after="40"/>
        <w:ind w:left="432" w:hanging="432"/>
        <w:jc w:val="both"/>
      </w:pPr>
      <w:r>
        <w:rPr>
          <w:b/>
          <w:sz w:val="16"/>
        </w:rPr>
        <w:t xml:space="preserve">[92] </w:t>
      </w:r>
      <w:r>
        <w:rPr>
          <w:sz w:val="16"/>
        </w:rPr>
        <w:t>Cao P.; Wu J., "GraphRevisedIE: Multimodal information extraction with graph-revised network," Pattern Recognition, 2023, doi: 10.1016/j.patcog.2023.109542.</w:t>
      </w:r>
    </w:p>
    <w:p>
      <w:pPr>
        <w:spacing w:line="240" w:lineRule="auto" w:before="0" w:after="40"/>
        <w:ind w:left="432" w:hanging="432"/>
        <w:jc w:val="both"/>
      </w:pPr>
      <w:r>
        <w:rPr>
          <w:b/>
          <w:sz w:val="16"/>
        </w:rPr>
        <w:t xml:space="preserve">[93] </w:t>
      </w:r>
      <w:r>
        <w:rPr>
          <w:sz w:val="16"/>
        </w:rPr>
        <w:t>Tao X.; Han Y.; Jin Y.; Wang Z., "FLIP: A Novel Feedback Learning-Based Intelligent Plugin Towards Robust Document Text Recognition," Mathematics, 2025, doi: 10.3390/math13030422.</w:t>
      </w:r>
    </w:p>
    <w:p>
      <w:pPr>
        <w:spacing w:line="240" w:lineRule="auto" w:before="0" w:after="40"/>
        <w:ind w:left="432" w:hanging="432"/>
        <w:jc w:val="both"/>
      </w:pPr>
      <w:r>
        <w:rPr>
          <w:b/>
          <w:sz w:val="16"/>
        </w:rPr>
        <w:t xml:space="preserve">[94] </w:t>
      </w:r>
      <w:r>
        <w:rPr>
          <w:sz w:val="16"/>
        </w:rPr>
        <w:t>Chai Y.; Chen M.; Wu H.; Wang S., "Fin-EMRC: An Efficient Machine Reading Comprehension Framework for Financial Entity-Relation Extraction," IEEE Access, 2023, doi: 10.1109/access.2023.3299880.</w:t>
      </w:r>
    </w:p>
    <w:p>
      <w:pPr>
        <w:spacing w:line="240" w:lineRule="auto" w:before="0" w:after="40"/>
        <w:ind w:left="432" w:hanging="432"/>
        <w:jc w:val="both"/>
      </w:pPr>
      <w:r>
        <w:rPr>
          <w:b/>
          <w:sz w:val="16"/>
        </w:rPr>
        <w:t xml:space="preserve">[95] </w:t>
      </w:r>
      <w:r>
        <w:rPr>
          <w:sz w:val="16"/>
        </w:rPr>
        <w:t>Poudel U.; Regmi A.M.; Stamenkovic Z.; Raja S.P., "Applicability of OCR Engines for Text Recognition in Vehicle Number Plates, Receipts and Handwriting," Journal of Circuits, Systems and Computers, 2023, doi: 10.1142/s0218126623503218.</w:t>
      </w:r>
    </w:p>
    <w:p>
      <w:pPr>
        <w:spacing w:line="240" w:lineRule="auto" w:before="0" w:after="40"/>
        <w:ind w:left="432" w:hanging="432"/>
        <w:jc w:val="both"/>
      </w:pPr>
      <w:r>
        <w:rPr>
          <w:b/>
          <w:sz w:val="16"/>
        </w:rPr>
        <w:t xml:space="preserve">[96] </w:t>
      </w:r>
      <w:r>
        <w:rPr>
          <w:sz w:val="16"/>
        </w:rPr>
        <w:t>Cruz F.; Castelli M., "Learning Curves Prediction for a Transformers-Based Model," Emerging Science Journal, 2023, doi: 10.28991/esj-2023-07-05-03.</w:t>
      </w:r>
    </w:p>
    <w:p>
      <w:pPr>
        <w:spacing w:line="240" w:lineRule="auto" w:before="0" w:after="40"/>
        <w:ind w:left="432" w:hanging="432"/>
        <w:jc w:val="both"/>
      </w:pPr>
      <w:r>
        <w:rPr>
          <w:b/>
          <w:sz w:val="16"/>
        </w:rPr>
        <w:t xml:space="preserve">[97] </w:t>
      </w:r>
      <w:r>
        <w:rPr>
          <w:sz w:val="16"/>
        </w:rPr>
        <w:t>Azzam F.; Jaber M.; Saies A.; Kirresh T.; Awadallah R.; Karakra A.; Barghouthi H.; Amarneh S., "The Use of Blockchain Technology and OCR in E-Government for Document Management: Inbound Invoice Management as an Example," Applied Sciences (Switzerland), 2023, doi: 10.3390/app13148463.</w:t>
      </w:r>
    </w:p>
    <w:p>
      <w:pPr>
        <w:spacing w:line="240" w:lineRule="auto" w:before="0" w:after="40"/>
        <w:ind w:left="432" w:hanging="432"/>
        <w:jc w:val="both"/>
      </w:pPr>
      <w:r>
        <w:rPr>
          <w:b/>
          <w:sz w:val="16"/>
        </w:rPr>
        <w:t xml:space="preserve">[98] </w:t>
      </w:r>
      <w:r>
        <w:rPr>
          <w:sz w:val="16"/>
        </w:rPr>
        <w:t>Lin H.-Y.; Hsu C.-Y., "Structured Cluster Detection from Local Feature Learning for Text Region Extraction," Entropy, 2023, doi: 10.3390/e25040658.</w:t>
      </w:r>
    </w:p>
    <w:p>
      <w:pPr>
        <w:spacing w:line="240" w:lineRule="auto" w:before="0" w:after="40"/>
        <w:ind w:left="432" w:hanging="432"/>
        <w:jc w:val="both"/>
      </w:pPr>
      <w:r>
        <w:rPr>
          <w:b/>
          <w:sz w:val="16"/>
        </w:rPr>
        <w:t xml:space="preserve">[99] </w:t>
      </w:r>
      <w:r>
        <w:rPr>
          <w:sz w:val="16"/>
        </w:rPr>
        <w:t>Vincent E.J.; Hari V.S., "Classification of Letter Images from Scanned Invoices using CNN," International Journal of Computing, 2023, doi: 10.47839/ijc.22.3.3232.</w:t>
      </w:r>
    </w:p>
    <w:p>
      <w:pPr>
        <w:spacing w:line="240" w:lineRule="auto" w:before="0" w:after="40"/>
        <w:ind w:left="432" w:hanging="432"/>
        <w:jc w:val="both"/>
      </w:pPr>
      <w:r>
        <w:rPr>
          <w:b/>
          <w:sz w:val="16"/>
        </w:rPr>
        <w:t xml:space="preserve">[100] </w:t>
      </w:r>
      <w:r>
        <w:rPr>
          <w:sz w:val="16"/>
        </w:rPr>
        <w:t>Sayallar C.; Sayar A.; Babalık N., "An OCR Engine for Printed Receipt Images using Deep Learning Techniques," International Journal of Advanced Computer Science and Applications, 2023, doi: 10.14569/ijacsa.2023.0140295.</w:t>
      </w:r>
    </w:p>
    <w:p>
      <w:pPr>
        <w:spacing w:line="240" w:lineRule="auto" w:before="0" w:after="40"/>
        <w:ind w:left="432" w:hanging="432"/>
        <w:jc w:val="both"/>
      </w:pPr>
      <w:r>
        <w:rPr>
          <w:b/>
          <w:sz w:val="16"/>
        </w:rPr>
        <w:t xml:space="preserve">[101] </w:t>
      </w:r>
      <w:r>
        <w:rPr>
          <w:sz w:val="16"/>
        </w:rPr>
        <w:t>Okarma K.; Lech P., "A method supporting fault-tolerant optical text recognition from video sequences recorded with handheld cameras," Engineering Applications of Artificial Intelligence, 2023, doi: 10.1016/j.engappai.2023.106330.</w:t>
      </w:r>
    </w:p>
    <w:p>
      <w:pPr>
        <w:spacing w:line="240" w:lineRule="auto" w:before="0" w:after="40"/>
        <w:ind w:left="432" w:hanging="432"/>
        <w:jc w:val="both"/>
      </w:pPr>
      <w:r>
        <w:rPr>
          <w:b/>
          <w:sz w:val="16"/>
        </w:rPr>
        <w:t xml:space="preserve">[102] </w:t>
      </w:r>
      <w:r>
        <w:rPr>
          <w:sz w:val="16"/>
        </w:rPr>
        <w:t>Yeung O.M.; John J.A.J.A.P.C.M.E.; Muton N.B.R., "Digitizing Receipts with OCR," International Journal of Computing and Digital Systems, 2023, doi: 10.12785/ijcds/140132.</w:t>
      </w:r>
    </w:p>
    <w:p>
      <w:pPr>
        <w:spacing w:line="240" w:lineRule="auto" w:before="0" w:after="40"/>
        <w:ind w:left="432" w:hanging="432"/>
        <w:jc w:val="both"/>
      </w:pPr>
      <w:r>
        <w:rPr>
          <w:b/>
          <w:sz w:val="16"/>
        </w:rPr>
        <w:t xml:space="preserve">[103] </w:t>
      </w:r>
      <w:r>
        <w:rPr>
          <w:sz w:val="16"/>
        </w:rPr>
        <w:t>Arslan H., "End to End Invoice Processing Application Based on Key Fields Extraction," IEEE Access, 2022, doi: 10.1109/access.2022.3192828.</w:t>
      </w:r>
    </w:p>
    <w:p>
      <w:pPr>
        <w:spacing w:line="240" w:lineRule="auto" w:before="0" w:after="40"/>
        <w:ind w:left="432" w:hanging="432"/>
        <w:jc w:val="both"/>
      </w:pPr>
      <w:r>
        <w:rPr>
          <w:b/>
          <w:sz w:val="16"/>
        </w:rPr>
        <w:t xml:space="preserve">[104] </w:t>
      </w:r>
      <w:r>
        <w:rPr>
          <w:sz w:val="16"/>
        </w:rPr>
        <w:t>Kashinath T.; Jain T.; Agrawal Y.; Anand T.; Singh S., "End-to-end table structure recognition and extraction in heterogeneous documents," Applied Soft Computing, 2022, doi: 10.1016/j.asoc.2022.108942.</w:t>
      </w:r>
    </w:p>
    <w:p>
      <w:pPr>
        <w:spacing w:line="240" w:lineRule="auto" w:before="0" w:after="40"/>
        <w:ind w:left="432" w:hanging="432"/>
        <w:jc w:val="both"/>
      </w:pPr>
      <w:r>
        <w:rPr>
          <w:b/>
          <w:sz w:val="16"/>
        </w:rPr>
        <w:t xml:space="preserve">[105] </w:t>
      </w:r>
      <w:r>
        <w:rPr>
          <w:sz w:val="16"/>
        </w:rPr>
        <w:t>Riba P.; Goldmann L.; Terrades O.R.; Rusticus D.; Fornés A.; Lladós J., "Table detection in business document images by message passing networks," Pattern Recognition, 2022, doi: 10.1016/j.patcog.2022.108641.</w:t>
      </w:r>
    </w:p>
    <w:p>
      <w:pPr>
        <w:spacing w:line="240" w:lineRule="auto" w:before="0" w:after="40"/>
        <w:ind w:left="432" w:hanging="432"/>
        <w:jc w:val="both"/>
      </w:pPr>
      <w:r>
        <w:rPr>
          <w:b/>
          <w:sz w:val="16"/>
        </w:rPr>
        <w:t xml:space="preserve">[106] </w:t>
      </w:r>
      <w:r>
        <w:rPr>
          <w:sz w:val="16"/>
        </w:rPr>
        <w:t>Lee W.-T.; Huang C.-C., "Deformable Convolutional Neuron Network Model for Detecting Tables and Columns from Document Images," Journal of Information Science and Engineering, 2022, doi: 10.6688/jise.202211_38(6).0011.</w:t>
      </w:r>
    </w:p>
    <w:p>
      <w:pPr>
        <w:spacing w:line="240" w:lineRule="auto" w:before="0" w:after="40"/>
        <w:ind w:left="432" w:hanging="432"/>
        <w:jc w:val="both"/>
      </w:pPr>
      <w:r>
        <w:rPr>
          <w:b/>
          <w:sz w:val="16"/>
        </w:rPr>
        <w:t xml:space="preserve">[107] </w:t>
      </w:r>
      <w:r>
        <w:rPr>
          <w:sz w:val="16"/>
        </w:rPr>
        <w:t>Tran A.C.; Ho L.T.; Nguyen H.T., "Information Extraction from Invoices by using a Graph Convolutional Neural Network: A Case Study of Vietnamese Stores," IEIE Transactions on Smart Processing and Computing, 2022, doi: 10.5573/ieiespc.2022.11.5.316.</w:t>
      </w:r>
    </w:p>
    <w:p>
      <w:pPr>
        <w:spacing w:line="240" w:lineRule="auto" w:before="0" w:after="40"/>
        <w:ind w:left="432" w:hanging="432"/>
        <w:jc w:val="both"/>
      </w:pPr>
      <w:r>
        <w:rPr>
          <w:b/>
          <w:sz w:val="16"/>
        </w:rPr>
        <w:t xml:space="preserve">[108] </w:t>
      </w:r>
      <w:r>
        <w:rPr>
          <w:sz w:val="16"/>
        </w:rPr>
        <w:t>Yeghiazaryan A.; Khechoyan K.; Nalbandyan G.; Muradyan S., "Tokengrid: Toward More Efficient Data Extraction From Unstructured Documents," IEEE Access, 2022, doi: 10.1109/access.2022.3164674.</w:t>
      </w:r>
    </w:p>
    <w:p>
      <w:pPr>
        <w:spacing w:line="240" w:lineRule="auto" w:before="0" w:after="40"/>
        <w:ind w:left="432" w:hanging="432"/>
        <w:jc w:val="both"/>
      </w:pPr>
      <w:r>
        <w:rPr>
          <w:b/>
          <w:sz w:val="16"/>
        </w:rPr>
        <w:t xml:space="preserve">[109] </w:t>
      </w:r>
      <w:r>
        <w:rPr>
          <w:sz w:val="16"/>
        </w:rPr>
        <w:t>Alshathri S.I.; Vincent D.J.; Hari V.S., "Denoising letter images from scanned invoices using stacked autoencoders," Computers, Materials and Continua, 2022, doi: 10.32604/cmc.2022.022458.</w:t>
      </w:r>
    </w:p>
    <w:p>
      <w:pPr>
        <w:spacing w:line="240" w:lineRule="auto" w:before="0" w:after="40"/>
        <w:ind w:left="432" w:hanging="432"/>
        <w:jc w:val="both"/>
      </w:pPr>
      <w:r>
        <w:rPr>
          <w:b/>
          <w:sz w:val="16"/>
        </w:rPr>
        <w:t xml:space="preserve">[110] </w:t>
      </w:r>
      <w:r>
        <w:rPr>
          <w:sz w:val="16"/>
        </w:rPr>
        <w:t>Kumar M.; Shalu; Dureja A., "OCR-CRNN (WBS): an optical character recognition system based on CRNN and CTC loss for document image processing," International Journal of Information Technology, 2025, doi: 10.1007/s41870-024-02381-8.</w:t>
      </w:r>
    </w:p>
    <w:p>
      <w:pPr>
        <w:spacing w:line="240" w:lineRule="auto" w:before="0" w:after="40"/>
        <w:ind w:left="432" w:hanging="432"/>
        <w:jc w:val="both"/>
      </w:pPr>
      <w:r>
        <w:rPr>
          <w:b/>
          <w:sz w:val="16"/>
        </w:rPr>
        <w:t xml:space="preserve">[111] </w:t>
      </w:r>
      <w:r>
        <w:rPr>
          <w:sz w:val="16"/>
        </w:rPr>
        <w:t>Carbonell M.; Fornés A.; Villegas M., "A neural model for text localization, transcription and named entity recognition in documents," Pattern Recognition Letters, 2020, doi: 10.1016/j.patrec.2020.05.029.</w:t>
      </w:r>
    </w:p>
    <w:p>
      <w:pPr>
        <w:spacing w:line="240" w:lineRule="auto" w:before="0" w:after="40"/>
        <w:ind w:left="432" w:hanging="432"/>
        <w:jc w:val="both"/>
      </w:pPr>
      <w:r>
        <w:rPr>
          <w:b/>
          <w:sz w:val="16"/>
        </w:rPr>
        <w:t xml:space="preserve">[112] </w:t>
      </w:r>
      <w:r>
        <w:rPr>
          <w:sz w:val="16"/>
        </w:rPr>
        <w:t>Tata S.; Potti N.; Wendt J.B.; Costa L.B.; Najork M.; Gunel B., "Glean: Structured extractions from templatic documents," Proceedings of the VLDB Endowment, 2021, doi: 10.14778/3447689.3447703.</w:t>
      </w:r>
    </w:p>
    <w:p>
      <w:pPr>
        <w:spacing w:line="240" w:lineRule="auto" w:before="0" w:after="40"/>
        <w:ind w:left="432" w:hanging="432"/>
        <w:jc w:val="both"/>
      </w:pPr>
      <w:r>
        <w:rPr>
          <w:b/>
          <w:sz w:val="16"/>
        </w:rPr>
        <w:t xml:space="preserve">[113] </w:t>
      </w:r>
      <w:r>
        <w:rPr>
          <w:sz w:val="16"/>
        </w:rPr>
        <w:t>Pan W.; Chen L.; Zhang R., "Automatic Recognition of Financial Instruments Based on Anisotropic Partial Differential Equations," Advances in Mathematical Physics, 2021, doi: 10.1155/2021/6529859.</w:t>
      </w:r>
    </w:p>
    <w:p>
      <w:pPr>
        <w:spacing w:line="240" w:lineRule="auto" w:before="0" w:after="40"/>
        <w:ind w:left="432" w:hanging="432"/>
        <w:jc w:val="both"/>
      </w:pPr>
      <w:r>
        <w:rPr>
          <w:b/>
          <w:sz w:val="16"/>
        </w:rPr>
        <w:t xml:space="preserve">[114] </w:t>
      </w:r>
      <w:r>
        <w:rPr>
          <w:sz w:val="16"/>
        </w:rPr>
        <w:t>Nguyen M.-T.; Le D.T.; Le L., "Transformers-based information extraction with limited data for domain-specific business documents," Engineering Applications of Artificial Intelligence, 2021, doi: 10.1016/j.engappai.2021.104273.</w:t>
      </w:r>
    </w:p>
    <w:p>
      <w:pPr>
        <w:spacing w:line="240" w:lineRule="auto" w:before="0" w:after="40"/>
        <w:ind w:left="432" w:hanging="432"/>
        <w:jc w:val="both"/>
      </w:pPr>
      <w:r>
        <w:rPr>
          <w:b/>
          <w:sz w:val="16"/>
        </w:rPr>
        <w:t xml:space="preserve">[115] </w:t>
      </w:r>
      <w:r>
        <w:rPr>
          <w:sz w:val="16"/>
        </w:rPr>
        <w:t>Hemmer A.; Coustaty M.; Bartolo N.; Ogier J.-M., "Neurosymbolic Information Extraction from Transactional Documents," International Journal on Document Analysis and Recognition, 2025, doi: 10.1007/s10032-025-00530-0.</w:t>
      </w:r>
    </w:p>
    <w:p>
      <w:pPr>
        <w:spacing w:line="240" w:lineRule="auto" w:before="0" w:after="40"/>
        <w:ind w:left="432" w:hanging="432"/>
        <w:jc w:val="both"/>
      </w:pPr>
      <w:r>
        <w:rPr>
          <w:b/>
          <w:sz w:val="16"/>
        </w:rPr>
        <w:t xml:space="preserve">[116] </w:t>
      </w:r>
      <w:r>
        <w:rPr>
          <w:sz w:val="16"/>
        </w:rPr>
        <w:t>Tobaben M.; Souibgui M.A.; Tito R.; Nguyen K.; Kerkouche R.; Jung K.; Jälkö J.; Kang L.; Barsky A.; D’andecy V.P.; Joseph A.; Muhamed A.; Kuo K.; Smith V.; Yamasaki Y.; Fukami T.; Niwa K.; Tyou I.; Ishii H.; Yokota R.; Ragul N.; Kutum R.; Llados J.; Valveny E.; Honkela A.; Fritz M.; Karatzas D., "NeurIPS 2023 Competition: Privacy Preserving Federated Learning Document VQA," Transactions on Machine Learning Research, 2025, ISSN: 2835-8856. [Online]. Available: https://jmlr.org/tmlr/papers/.</w:t>
      </w:r>
    </w:p>
    <w:p>
      <w:pPr>
        <w:spacing w:line="240" w:lineRule="auto" w:before="0" w:after="40"/>
        <w:ind w:left="432" w:hanging="432"/>
        <w:jc w:val="both"/>
      </w:pPr>
      <w:r>
        <w:rPr>
          <w:b/>
          <w:sz w:val="16"/>
        </w:rPr>
        <w:t xml:space="preserve">[117] </w:t>
      </w:r>
      <w:r>
        <w:rPr>
          <w:sz w:val="16"/>
        </w:rPr>
        <w:t>Huang F.; Rothenbusch J.; Schafer P., "Machine learning-powered automation for real estate document processing and information extraction," Journal of European Real Estate Research, 2025, doi: 10.1108/jerer-06-2024-0038.</w:t>
      </w:r>
    </w:p>
    <w:p>
      <w:pPr>
        <w:spacing w:line="240" w:lineRule="auto" w:before="0" w:after="40"/>
        <w:ind w:left="432" w:hanging="432"/>
        <w:jc w:val="both"/>
      </w:pPr>
      <w:r>
        <w:rPr>
          <w:b/>
          <w:sz w:val="16"/>
        </w:rPr>
        <w:t xml:space="preserve">[118] </w:t>
      </w:r>
      <w:r>
        <w:rPr>
          <w:sz w:val="16"/>
        </w:rPr>
        <w:t>Li D.-L.; Lee S.-K.; Liu Y.-H., "Printed document layout analysis and optical character recognition using deep learning," Scientific Reports, 2025, doi: 10.1038/s41598-025-86711-2.</w:t>
      </w:r>
    </w:p>
    <w:p>
      <w:pPr>
        <w:spacing w:line="240" w:lineRule="auto" w:before="0" w:after="40"/>
        <w:ind w:left="432" w:hanging="432"/>
        <w:jc w:val="both"/>
      </w:pPr>
      <w:r>
        <w:rPr>
          <w:b/>
          <w:sz w:val="16"/>
        </w:rPr>
        <w:t xml:space="preserve">[119] </w:t>
      </w:r>
      <w:r>
        <w:rPr>
          <w:sz w:val="16"/>
        </w:rPr>
        <w:t>Limam M.; Dhiaf M.; Kessentini Y., "Information extraction from multi-layout invoice images using FATURA dataset," Engineering Applications of Artificial Intelligence, 2025, doi: 10.1016/j.engappai.2025.110478.</w:t>
      </w:r>
    </w:p>
    <w:p>
      <w:pPr>
        <w:spacing w:line="240" w:lineRule="auto" w:before="0" w:after="40"/>
        <w:ind w:left="432" w:hanging="432"/>
        <w:jc w:val="both"/>
      </w:pPr>
      <w:r>
        <w:rPr>
          <w:b/>
          <w:sz w:val="16"/>
        </w:rPr>
        <w:t xml:space="preserve">[120] </w:t>
      </w:r>
      <w:r>
        <w:rPr>
          <w:sz w:val="16"/>
        </w:rPr>
        <w:t>Zhang Z.; Hu P.; Ma J.; Du J.; Zhang J.; Yin B.; Yin B.; Liu C., "SEMv2: Table separation line detection based on instance segmentation," Pattern Recognition, 2024, doi: 10.1016/j.patcog.2024.110279.</w:t>
      </w:r>
    </w:p>
    <w:p>
      <w:pPr>
        <w:spacing w:line="240" w:lineRule="auto" w:before="0" w:after="40"/>
        <w:ind w:left="432" w:hanging="432"/>
        <w:jc w:val="both"/>
      </w:pPr>
      <w:r>
        <w:rPr>
          <w:b/>
          <w:sz w:val="16"/>
        </w:rPr>
        <w:t xml:space="preserve">[121] </w:t>
      </w:r>
      <w:r>
        <w:rPr>
          <w:sz w:val="16"/>
        </w:rPr>
        <w:t>Lai P.; Mohan A.; Kim S.; Chu J.S.V.; Lee S.; Kafle P.; Wang P., "Customized Information Extraction and Processing Pipeline for Commercial Invoices," International Journal of Pattern Recognition and Artificial Intelligence, 2023, doi: 10.1142/s0218001423540137.</w:t>
      </w:r>
    </w:p>
    <w:p>
      <w:pPr>
        <w:spacing w:line="240" w:lineRule="auto" w:before="0" w:after="40"/>
        <w:ind w:left="432" w:hanging="432"/>
        <w:jc w:val="both"/>
      </w:pPr>
      <w:r>
        <w:rPr>
          <w:b/>
          <w:sz w:val="16"/>
        </w:rPr>
        <w:t xml:space="preserve">[122] </w:t>
      </w:r>
      <w:r>
        <w:rPr>
          <w:sz w:val="16"/>
        </w:rPr>
        <w:t>Situ X.; Liu T.; Yao H.; Shen J., "Document-Image Perceptual Hashing for Content Authentication and Integrity in Enterprise Archives," IEEE Transactions on Big Data, 2025, doi: 10.1109/tbdata.2025.3529811.</w:t>
      </w:r>
    </w:p>
    <w:p>
      <w:pPr>
        <w:spacing w:line="240" w:lineRule="auto" w:before="0" w:after="40"/>
        <w:ind w:left="432" w:hanging="432"/>
        <w:jc w:val="both"/>
      </w:pPr>
      <w:r>
        <w:rPr>
          <w:b/>
          <w:sz w:val="16"/>
        </w:rPr>
        <w:t xml:space="preserve">[123] </w:t>
      </w:r>
      <w:r>
        <w:rPr>
          <w:sz w:val="16"/>
        </w:rPr>
        <w:t>Nazir D.; Hashmi K.A.; Pagani A.; Liwicki M.; Stricker D., "Hybridtabnet: Towards better table detection in scanned document images," Applied Sciences, 2021, doi: 10.3390/app11188396.</w:t>
      </w:r>
    </w:p>
    <w:p>
      <w:pPr>
        <w:spacing w:line="240" w:lineRule="auto" w:before="0" w:after="40"/>
        <w:ind w:left="432" w:hanging="432"/>
        <w:jc w:val="both"/>
      </w:pPr>
      <w:r>
        <w:rPr>
          <w:b/>
          <w:sz w:val="16"/>
        </w:rPr>
        <w:t xml:space="preserve">[124] </w:t>
      </w:r>
      <w:r>
        <w:rPr>
          <w:sz w:val="16"/>
        </w:rPr>
        <w:t>Kayani M.; Ghafoor A.; Riaz M.M., "Multi-modal text recognition and encryption in scanned document images," Journal of Supercomputing, 2023, doi: 10.1007/s11227-022-04912-7.</w:t>
      </w:r>
    </w:p>
    <w:p>
      <w:pPr>
        <w:spacing w:line="240" w:lineRule="auto" w:before="0" w:after="40"/>
        <w:ind w:left="432" w:hanging="432"/>
        <w:jc w:val="both"/>
      </w:pPr>
      <w:r>
        <w:rPr>
          <w:b/>
          <w:sz w:val="16"/>
        </w:rPr>
        <w:t xml:space="preserve">[125] </w:t>
      </w:r>
      <w:r>
        <w:rPr>
          <w:sz w:val="16"/>
        </w:rPr>
        <w:t>Bao W.; Yang C.; Wen S.; Zeng M.; Guo J.; Zhong J.; Xu X., "A Novel Adaptive Deskewing Algorithm for Document Images," Sensors (Basel, Switzerland), 2022, doi: 10.3390/s22207944.</w:t>
      </w:r>
    </w:p>
    <w:p>
      <w:pPr>
        <w:spacing w:line="240" w:lineRule="auto" w:before="0" w:after="40"/>
        <w:ind w:left="432" w:hanging="432"/>
        <w:jc w:val="both"/>
      </w:pPr>
      <w:r>
        <w:rPr>
          <w:b/>
          <w:sz w:val="16"/>
        </w:rPr>
        <w:t xml:space="preserve">[126] </w:t>
      </w:r>
      <w:r>
        <w:rPr>
          <w:sz w:val="16"/>
        </w:rPr>
        <w:t>Aliwy A.H.; Al-Sadawi B., "Corpus-based technique for Improving Arabic OCR system," Indonesian Journal of Electrical Engineering and Computer Science, 2021, doi: 10.11591/ijeecs.v21.i1.pp233-241.</w:t>
      </w:r>
    </w:p>
    <w:p>
      <w:pPr>
        <w:spacing w:line="240" w:lineRule="auto" w:before="0" w:after="40"/>
        <w:ind w:left="432" w:hanging="432"/>
        <w:jc w:val="both"/>
      </w:pPr>
      <w:r>
        <w:rPr>
          <w:b/>
          <w:sz w:val="16"/>
        </w:rPr>
        <w:t xml:space="preserve">[127] </w:t>
      </w:r>
      <w:r>
        <w:rPr>
          <w:sz w:val="16"/>
        </w:rPr>
        <w:t>Azman N.A.; Mohamed A.; Jamil A.M., "Artificial Intelligence in Automated Bookkeeping: A Value-added Function for Small and Medium Enterprises," International Journal on Informatics Visualization, 2021, doi: 10.30630/joiv.5.3.669.</w:t>
      </w:r>
    </w:p>
    <w:p>
      <w:pPr>
        <w:spacing w:line="240" w:lineRule="auto" w:before="0" w:after="40"/>
        <w:ind w:left="432" w:hanging="432"/>
        <w:jc w:val="both"/>
      </w:pPr>
      <w:r>
        <w:rPr>
          <w:b/>
          <w:sz w:val="16"/>
        </w:rPr>
        <w:t xml:space="preserve">[128] </w:t>
      </w:r>
      <w:r>
        <w:rPr>
          <w:sz w:val="16"/>
        </w:rPr>
        <w:t>Wang H.; Zhu T.; Wang M.; Zhang G.; Chen W., "A prior information enhanced extraction framework for document-level financial event extraction," Data Intelligence, 2021, doi: 10.1162/dint_a_00103.</w:t>
      </w:r>
    </w:p>
    <w:p>
      <w:pPr>
        <w:spacing w:line="240" w:lineRule="auto" w:before="0" w:after="40"/>
        <w:ind w:left="432" w:hanging="432"/>
        <w:jc w:val="both"/>
      </w:pPr>
      <w:r>
        <w:rPr>
          <w:b/>
          <w:sz w:val="16"/>
        </w:rPr>
        <w:t xml:space="preserve">[129] </w:t>
      </w:r>
      <w:r>
        <w:rPr>
          <w:sz w:val="16"/>
        </w:rPr>
        <w:t>Baviskar D.; Ahirrao S.; Kotecha K., "Multi-layout invoice document dataset (Midd): A dataset for named entity recognition," Data, 2021, doi: 10.3390/data6070078.</w:t>
      </w:r>
    </w:p>
    <w:p>
      <w:pPr>
        <w:spacing w:line="240" w:lineRule="auto" w:before="0" w:after="40"/>
        <w:ind w:left="432" w:hanging="432"/>
        <w:jc w:val="both"/>
      </w:pPr>
      <w:r>
        <w:rPr>
          <w:b/>
          <w:sz w:val="16"/>
        </w:rPr>
        <w:t xml:space="preserve">[130] </w:t>
      </w:r>
      <w:r>
        <w:rPr>
          <w:sz w:val="16"/>
        </w:rPr>
        <w:t>Burdick D.; Danilevsky M.; Evfimievski A.V.; Katsis Y.; Wang N., "Table Extraction and Understanding for Scientific and Enterprise Applications," Proceedings of the VLDB Endowment, 2020, doi: 10.14778/3415478.3415563.</w:t>
      </w:r>
    </w:p>
    <w:p>
      <w:pPr>
        <w:spacing w:line="240" w:lineRule="auto" w:before="0" w:after="40"/>
        <w:ind w:left="432" w:hanging="432"/>
        <w:jc w:val="both"/>
      </w:pPr>
      <w:r>
        <w:rPr>
          <w:b/>
          <w:sz w:val="16"/>
        </w:rPr>
        <w:t xml:space="preserve">[131] </w:t>
      </w:r>
      <w:r>
        <w:rPr>
          <w:sz w:val="16"/>
        </w:rPr>
        <w:t>Sainz-De-Abajo B.; Garcia-Alonso J.M.; Berrocal-Olmeda J.J.; Laso-Mangas S.; De La Torre-Diez I., "FoodScan: Food Monitoring App by Scanning the Groceries Receipts," IEEE Access, 2020, doi: 10.1109/access.2020.3046031.</w:t>
      </w:r>
    </w:p>
    <w:p>
      <w:pPr>
        <w:spacing w:line="240" w:lineRule="auto" w:before="0" w:after="40"/>
        <w:ind w:left="432" w:hanging="432"/>
        <w:jc w:val="both"/>
      </w:pPr>
      <w:r>
        <w:rPr>
          <w:b/>
          <w:sz w:val="16"/>
        </w:rPr>
        <w:t xml:space="preserve">[132] </w:t>
      </w:r>
      <w:r>
        <w:rPr>
          <w:sz w:val="16"/>
        </w:rPr>
        <w:t>Ha H.T.; Horák A., "Information extraction from scanned invoice images using text analysis and layout features," Signal Processing: Image Communication, 2022, doi: 10.1016/j.image.2021.116601.</w:t>
      </w:r>
    </w:p>
    <w:p>
      <w:pPr>
        <w:spacing w:line="240" w:lineRule="auto" w:before="0" w:after="40"/>
        <w:ind w:left="432" w:hanging="432"/>
        <w:jc w:val="both"/>
      </w:pPr>
      <w:r>
        <w:rPr>
          <w:b/>
          <w:sz w:val="16"/>
        </w:rPr>
        <w:t xml:space="preserve">[133] </w:t>
      </w:r>
      <w:r>
        <w:rPr>
          <w:sz w:val="16"/>
        </w:rPr>
        <w:t>Gonçalves M.J.A.; da Silva A.C.F.; Ferreira C.G., "The Future of Accounting: How Will Digital Transformation Impact the Sector?," Informatics, 2022, doi: 10.3390/informatics9010019.</w:t>
      </w:r>
    </w:p>
    <w:p>
      <w:pPr>
        <w:spacing w:line="240" w:lineRule="auto" w:before="0" w:after="40"/>
        <w:ind w:left="432" w:hanging="432"/>
        <w:jc w:val="both"/>
      </w:pPr>
      <w:r>
        <w:rPr>
          <w:b/>
          <w:sz w:val="16"/>
        </w:rPr>
        <w:t xml:space="preserve">[134] </w:t>
      </w:r>
      <w:r>
        <w:rPr>
          <w:sz w:val="16"/>
        </w:rPr>
        <w:t>J. Thomas and A. Harden, 'Methods for the thematic synthesis of qualitative research in systematic reviews,' BMC Med. Res. Methodol., vol. 8, art. 45, 2008, doi: 10.1186/1471-2288-8-45.</w:t>
      </w:r>
    </w:p>
    <w:p>
      <w:pPr>
        <w:spacing w:line="240" w:lineRule="auto" w:before="0" w:after="40"/>
        <w:ind w:left="432" w:hanging="432"/>
        <w:jc w:val="both"/>
      </w:pPr>
      <w:r>
        <w:rPr>
          <w:b/>
          <w:sz w:val="16"/>
        </w:rPr>
        <w:t xml:space="preserve">[135] </w:t>
      </w:r>
      <w:r>
        <w:rPr>
          <w:sz w:val="16"/>
        </w:rPr>
        <w:t>D. S. Cruzes and T. Dybå, 'Research synthesis in software engineering: A tertiary study,' Inf. Softw. Technol., vol. 53, no. 5, pp. 440–455, 2011, doi: 10.1016/j.infsof.2011.01.004.</w:t>
      </w:r>
    </w:p>
    <w:p>
      <w:pPr>
        <w:spacing w:line="240" w:lineRule="auto" w:before="0" w:after="40"/>
        <w:ind w:left="432" w:hanging="432"/>
        <w:jc w:val="both"/>
      </w:pPr>
      <w:r>
        <w:rPr>
          <w:b/>
          <w:sz w:val="16"/>
        </w:rPr>
        <w:t xml:space="preserve">[136] </w:t>
      </w:r>
      <w:r>
        <w:rPr>
          <w:sz w:val="16"/>
        </w:rPr>
        <w:t>J. Popay et al., 'Guidance on the conduct of narrative synthesis in systematic reviews,' ESRC Methods Programme, Lancaster Univ., 2006.</w:t>
      </w:r>
    </w:p>
    <w:p>
      <w:pPr>
        <w:spacing w:line="240" w:lineRule="auto" w:before="0" w:after="40"/>
        <w:ind w:left="432" w:hanging="432"/>
        <w:jc w:val="both"/>
      </w:pPr>
      <w:r>
        <w:rPr>
          <w:b/>
          <w:sz w:val="16"/>
        </w:rPr>
        <w:t xml:space="preserve">[137] </w:t>
      </w:r>
      <w:r>
        <w:rPr>
          <w:sz w:val="16"/>
        </w:rPr>
        <w:t>M. Campbell et al., 'Synthesis without meta-analysis (SWiM) in systematic reviews: Reporting guideline,' BMJ, vol. 368, p. l6890, 2020, doi: 10.1136/bmj.l6890.</w:t>
      </w:r>
    </w:p>
    <w:p>
      <w:pPr>
        <w:spacing w:line="240" w:lineRule="auto" w:before="0" w:after="40"/>
        <w:ind w:left="432" w:hanging="432"/>
        <w:jc w:val="both"/>
      </w:pPr>
      <w:r>
        <w:rPr>
          <w:b/>
          <w:sz w:val="16"/>
        </w:rPr>
        <w:t xml:space="preserve">[138] </w:t>
      </w:r>
      <w:r>
        <w:rPr>
          <w:sz w:val="16"/>
        </w:rPr>
        <w:t>K. Petersen, S. Vakkalanka, and L. Kuzniarz, 'Guidelines for conducting systematic mapping studies in software engineering: An update,' Inf. Softw. Technol., vol. 64, pp. 1–18, 2015, doi: 10.1016/j.infsof.2015.03.007.</w:t>
      </w:r>
    </w:p>
    <w:p>
      <w:pPr>
        <w:spacing w:line="240" w:lineRule="auto" w:before="0" w:after="40"/>
        <w:ind w:left="432" w:hanging="432"/>
        <w:jc w:val="both"/>
      </w:pPr>
      <w:r>
        <w:rPr>
          <w:b/>
          <w:sz w:val="16"/>
        </w:rPr>
        <w:t xml:space="preserve">[139] </w:t>
      </w:r>
      <w:r>
        <w:rPr>
          <w:sz w:val="16"/>
        </w:rPr>
        <w:t>N. J. van Eck and L. Waltman, 'Software survey: VOSviewer, a computer program for bibliometric mapping,' Scientometrics, vol. 84, no. 2, pp. 523–538, 2010, doi: 10.1007/s11192-009-0146-3.</w:t>
      </w:r>
    </w:p>
    <w:p>
      <w:pPr>
        <w:spacing w:line="240" w:lineRule="auto" w:before="0" w:after="40"/>
        <w:ind w:left="432" w:hanging="432"/>
        <w:jc w:val="both"/>
      </w:pPr>
      <w:r>
        <w:rPr>
          <w:b/>
          <w:sz w:val="16"/>
        </w:rPr>
        <w:t xml:space="preserve">[140] </w:t>
      </w:r>
      <w:r>
        <w:rPr>
          <w:sz w:val="16"/>
        </w:rPr>
        <w:t>S. Lewin et al., 'Applying GRADE-CERQual to qualitative evidence synthesis findings: Introduction to the series,' Implement. Sci., vol. 13, suppl. 1, art. 2, 2018, doi: 10.1186/s13012-017-0688-3.</w:t>
      </w:r>
    </w:p>
    <w:sectPr w:rsidR="00FC693F" w:rsidRPr="0006063C" w:rsidSect="00034616">
      <w:type w:val="continuous"/>
      <w:pgSz w:w="12240" w:h="15840"/>
      <w:pgMar w:top="1080" w:right="1080" w:bottom="1080" w:left="1080" w:header="576" w:footer="576"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