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19"/>
        </w:rPr>
        <w:t>UNIVERSIDAD TECNOLÓGICA DEL PERÚ</w:t>
        <w:br/>
        <w:t>FACULTAD DE INGENIERÍA DE SISTEMAS E INFORMÁTICA</w:t>
      </w:r>
    </w:p>
    <w:p>
      <w:pPr>
        <w:spacing w:before="160" w:after="120"/>
        <w:jc w:val="center"/>
      </w:pPr>
      <w:r>
        <w:rPr>
          <w:rFonts w:ascii="Times New Roman" w:hAnsi="Times New Roman"/>
          <w:b/>
          <w:sz w:val="36"/>
        </w:rPr>
        <w:t>Inteligencia Artificial para la Automatización del Registro y Validación de Documentos Empresariales: Una Revisión Sistemática de la Literatura</w:t>
      </w:r>
    </w:p>
    <w:p>
      <w:pPr>
        <w:spacing w:before="80" w:after="40"/>
        <w:jc w:val="center"/>
      </w:pPr>
      <w:r>
        <w:rPr>
          <w:rFonts w:ascii="Times New Roman" w:hAnsi="Times New Roman"/>
          <w:b/>
          <w:sz w:val="21"/>
        </w:rPr>
        <w:t>Sergio André Rupay Huancachoque</w:t>
      </w:r>
    </w:p>
    <w:p>
      <w:pPr>
        <w:spacing w:before="0" w:after="160"/>
        <w:jc w:val="center"/>
      </w:pPr>
      <w:r>
        <w:rPr>
          <w:rFonts w:ascii="Times New Roman" w:hAnsi="Times New Roman"/>
          <w:i/>
          <w:sz w:val="17"/>
        </w:rPr>
        <w:t>Facultad de Ingeniería de Sistemas e Informática, Universidad Tecnológica del Perú, Lima, Perú</w:t>
        <w:br/>
        <w:t>Docente Asesor: Mg. Jimmy Sánchez Portugal | Formación para la Investigación</w:t>
        <w:br/>
        <w:t>Artículo RSL: Introducción, Metodología y Resultados | Corpus Primario Final: N = 131 artículos de revista científica (4 nucleares)</w:t>
      </w:r>
    </w:p>
    <w:p>
      <w:pPr>
        <w:spacing w:before="80" w:after="40"/>
        <w:ind w:left="432" w:right="432"/>
      </w:pPr>
      <w:r>
        <w:rPr>
          <w:b/>
          <w:i/>
          <w:sz w:val="18"/>
        </w:rPr>
        <w:t xml:space="preserve">Resumen— </w:t>
      </w:r>
      <w:r>
        <w:rPr>
          <w:sz w:val="18"/>
        </w:rPr>
        <w:t>El procesamiento de datos no estructurados en documentos empresariales (facturas, recibos y balances) representa un desafío crítico para la integración con sistemas ERP y CRM. Esta Revisión Sistemática de la Literatura analiza el impacto de la Inteligencia Artificial (IA) y el Procesamiento Inteligente de Documentos (IDP) entre 2020 y 2025. Siguiendo las directrices de Kitchenham y el protocolo PRISMA 2020, se identificaron 3,701 registros en Scopus y Web of Science, consolidando tras cribado formal un corpus primario de N = 131 artículos de revista revisados por pares. Los resultados indican que los transformers multimodales y Vision-Language Models alcanzan puntajes F1 entre 72.1 % y 98.7 % (mediana de 95.2 % en comprobantes estructurados y 84.5 % en formularios degradados). La síntesis por conteo de votos (SWiM) ratifica la superioridad de la IA sobre los métodos tradicionales en 71 de 82 estudios comparativos (86.6 %), con una reducción media de tiempo de procesamiento del 82.4 % (rango: 60.0 % a 95.0 %); no obstante, se registraron 8 casos de paridad y 3 desfavorables por costos de GPU y alucinaciones. Finalmente, se constata una brecha de adopción crítica: solo el 6.1 % del corpus (8 estudios) validó soluciones integradas en producción corporativa real.</w:t>
      </w:r>
    </w:p>
    <w:p>
      <w:pPr>
        <w:spacing w:before="40" w:after="240"/>
        <w:ind w:left="432" w:right="432"/>
      </w:pPr>
      <w:r>
        <w:rPr>
          <w:b/>
          <w:i/>
          <w:sz w:val="18"/>
        </w:rPr>
        <w:t xml:space="preserve">Palabras clave— </w:t>
      </w:r>
      <w:r>
        <w:rPr>
          <w:sz w:val="18"/>
        </w:rPr>
        <w:t>Inteligencia artificial, procesamiento inteligente de documentos (IDP), extracción de información clave (KIE), sistemas de planificación de recursos empresariales (ERP), transformers multimodales, revisión sistemática de literatura, PRISMA 2020, Kitchenham.</w:t>
      </w:r>
    </w:p>
    <w:p>
      <w:pPr>
        <w:sectPr>
          <w:pgSz w:w="12240" w:h="15840"/>
          <w:pgMar w:top="1080" w:right="1080" w:bottom="1080" w:left="1080" w:header="576" w:footer="576" w:gutter="0"/>
          <w:cols w:space="720"/>
          <w:docGrid w:linePitch="360"/>
        </w:sectPr>
      </w:pPr>
    </w:p>
    <w:p>
      <w:pPr>
        <w:keepNext/>
        <w:spacing w:before="220" w:after="80"/>
        <w:jc w:val="center"/>
      </w:pPr>
      <w:r>
        <w:rPr>
          <w:rFonts w:ascii="Times New Roman" w:hAnsi="Times New Roman"/>
          <w:b/>
          <w:sz w:val="20"/>
        </w:rPr>
        <w:t>I. INTRODUCCIÓN</w:t>
      </w:r>
    </w:p>
    <w:p>
      <w:pPr>
        <w:keepNext/>
        <w:spacing w:before="160" w:after="40"/>
        <w:jc w:val="left"/>
      </w:pPr>
      <w:r>
        <w:rPr>
          <w:rFonts w:ascii="Times New Roman" w:hAnsi="Times New Roman"/>
          <w:b/>
          <w:i/>
          <w:sz w:val="19"/>
        </w:rPr>
        <w:t>A. Contexto Tecnológico y Relevancia Industrial</w:t>
      </w:r>
    </w:p>
    <w:p>
      <w:pPr>
        <w:spacing w:line="240" w:lineRule="auto" w:before="0" w:after="80"/>
        <w:jc w:val="both"/>
      </w:pPr>
      <w:r>
        <w:rPr>
          <w:rFonts w:ascii="Times New Roman" w:hAnsi="Times New Roman"/>
          <w:i w:val="0"/>
          <w:sz w:val="19"/>
        </w:rPr>
        <w:t>En la era de la transformación digital, las organizaciones empresariales procesan diariamente volúmenes ingentes de documentos semiestructurados y no estructurados, tales como facturas de proveedores, recibos de caja, notas de crédito, órdenes de compra y extractos bancarios. Históricamente, la captura, transcripción y verificación de estos comprobantes ha dependido de la intervención manual humana o de sistemas tradicionales de Reconocimiento Óptico de Caracteres (OCR) basados en reglas sintácticas y plantillas rígidas (templates) [6].</w:t>
      </w:r>
    </w:p>
    <w:p>
      <w:pPr>
        <w:spacing w:line="240" w:lineRule="auto" w:before="0" w:after="80"/>
        <w:jc w:val="both"/>
      </w:pPr>
      <w:r>
        <w:rPr>
          <w:rFonts w:ascii="Times New Roman" w:hAnsi="Times New Roman"/>
          <w:i w:val="0"/>
          <w:sz w:val="19"/>
        </w:rPr>
        <w:t>En la literatura operativa se ha documentado que este esquema tradicional presenta restricciones críticas de escalabilidad: propensión a errores por digitación manual, costos laborales recurrentes, lentitud en los ciclos de conciliación contable y una extrema fragilidad ante variaciones en el diseño o formato de los documentos [6], [28]. Frente a este panorama, la convergencia del Deep Learning, el Procesamiento del Lenguaje Natural (PLN) y la Visión por Computadora ha dado origen al Procesamiento Inteligente de Documentos (IDP) y la Extracción de Información Clave (Key Information Extraction - KIE). Modelos multimodales avanzados (como transformers visual-lingüísticos y Vision-Language Models) permiten interpretar simultáneamente la información textual, la disposición espacial (layout) y los atributos visuales de los documentos visualmente ricos (Visually Rich Documents - VRD), alcanzando puntajes F1 y exactitudes que oscilan entre 72.1 % y 98.7 % en benchmarks públicos estandarizados [3], [4], [6].</w:t>
      </w:r>
    </w:p>
    <w:p>
      <w:pPr>
        <w:keepNext/>
        <w:spacing w:before="160" w:after="40"/>
        <w:jc w:val="left"/>
      </w:pPr>
      <w:r>
        <w:rPr>
          <w:rFonts w:ascii="Times New Roman" w:hAnsi="Times New Roman"/>
          <w:b/>
          <w:i/>
          <w:sz w:val="19"/>
        </w:rPr>
        <w:t>B. Planteamiento del Problema y Brechas en la Literatura</w:t>
      </w:r>
    </w:p>
    <w:p>
      <w:pPr>
        <w:spacing w:line="240" w:lineRule="auto" w:before="0" w:after="80"/>
        <w:jc w:val="both"/>
      </w:pPr>
      <w:r>
        <w:rPr>
          <w:rFonts w:ascii="Times New Roman" w:hAnsi="Times New Roman"/>
          <w:i w:val="0"/>
          <w:sz w:val="19"/>
        </w:rPr>
        <w:t>A pesar de los acelerados avances algorítmicos en modelos fundacionales y aprendizaje profundo, la literatura científica evidencia tres brechas críticas que dificultan la toma de decisiones informadas para la implementación en entornos de producción:</w:t>
      </w:r>
    </w:p>
    <w:p>
      <w:pPr>
        <w:spacing w:line="240" w:lineRule="auto" w:before="0" w:after="80"/>
        <w:jc w:val="both"/>
      </w:pPr>
      <w:r>
        <w:rPr>
          <w:rFonts w:ascii="Times New Roman" w:hAnsi="Times New Roman"/>
          <w:b/>
          <w:sz w:val="19"/>
        </w:rPr>
        <w:t xml:space="preserve">1) Fragilidad Operativa de Enfoques Tradicionales: </w:t>
      </w:r>
      <w:r>
        <w:rPr>
          <w:rFonts w:ascii="Times New Roman" w:hAnsi="Times New Roman"/>
          <w:i w:val="0"/>
          <w:sz w:val="19"/>
        </w:rPr>
        <w:t>El procesamiento manual y los flujos asistidos por OCR convencional continúan generando cuellos de botella operativos sustanciales, debido a la extrema rigidez de las plantillas predefinidas y a su reducida capacidad de generalización ante variaciones topológicas y formatos semiestructurados [5], [6], [28], [64]. Diversas investigaciones evidencian que cualquier alteración en la disposición espacial de tablas o campos clave degrada drásticamente la efectividad de las reglas sintácticas, ocasionando errores sistemáticos de lectura y una elevada dependencia de re-digitación y validación manual humana [6], [28].</w:t>
      </w:r>
    </w:p>
    <w:p>
      <w:pPr>
        <w:spacing w:line="240" w:lineRule="auto" w:before="0" w:after="80"/>
        <w:jc w:val="both"/>
      </w:pPr>
      <w:r>
        <w:rPr>
          <w:rFonts w:ascii="Times New Roman" w:hAnsi="Times New Roman"/>
          <w:b/>
          <w:sz w:val="19"/>
        </w:rPr>
        <w:t xml:space="preserve">2) Sesgos y Desconexión de los Benchmarks: </w:t>
      </w:r>
      <w:r>
        <w:rPr>
          <w:rFonts w:ascii="Times New Roman" w:hAnsi="Times New Roman"/>
          <w:i w:val="0"/>
          <w:sz w:val="19"/>
        </w:rPr>
        <w:t>Gran parte de la literatura académica evalúa sus propuestas sobre conjuntos de datos públicos estandarizados y predominantemente restringidos a condiciones ideales de escaneo o lenguajes específicos (como SROIE en inglés [6], [20], FUNSD [21], [67] y CORD en indonesio [9], [67]). Dichos repositorios no reflejan fielmente las complejidades operativas del entorno corporativo real: documentos con severa degradación física, sellos y firmas superpuestas, tablas contables anidadas sin bordes y diversidad tipográfica y lingüística regional [14], [28], [80], generando una sobreestimación teórica del rendimiento algorítmico frente a flujos de trabajo heterogéneos.</w:t>
      </w:r>
    </w:p>
    <w:p>
      <w:pPr>
        <w:spacing w:line="240" w:lineRule="auto" w:before="0" w:after="80"/>
        <w:jc w:val="both"/>
      </w:pPr>
      <w:r>
        <w:rPr>
          <w:rFonts w:ascii="Times New Roman" w:hAnsi="Times New Roman"/>
          <w:b/>
          <w:sz w:val="19"/>
        </w:rPr>
        <w:t xml:space="preserve">3) Aislamiento Transaccional con Sistemas ERP: </w:t>
      </w:r>
      <w:r>
        <w:rPr>
          <w:rFonts w:ascii="Times New Roman" w:hAnsi="Times New Roman"/>
          <w:i w:val="0"/>
          <w:sz w:val="19"/>
        </w:rPr>
        <w:t>A diferencia de las revisiones secundarias previas identificadas en la literatura (compiladas en la Tabla VIII), las cuales se restringen a taxonomías teóricas o panoramas cualitativos sobre bancos de prueba aislados, existe una marcada escasez de estudios primarios que aborden la integración transaccional de extremo a extremo entre los pipelines de IDP y los sistemas empresariales corporativos (ERP, CRM y DMS). La literatura tiende a dar por sentada la interoperabilidad de datos, omitiendo la evaluación concurrente de latencia en tiempo real, consumo de recursos (GPU vs. CPU) y protocolos de arbitraje humano en el bucle (Human-in-the-Loop) en entornos operativos reales [70], [84], [127].</w:t>
      </w:r>
    </w:p>
    <w:p>
      <w:pPr>
        <w:keepNext/>
        <w:spacing w:before="160" w:after="40"/>
        <w:jc w:val="left"/>
      </w:pPr>
      <w:r>
        <w:rPr>
          <w:rFonts w:ascii="Times New Roman" w:hAnsi="Times New Roman"/>
          <w:b/>
          <w:i/>
          <w:sz w:val="19"/>
        </w:rPr>
        <w:t>C. Motivación, Pregunta Maestra y Objetivos</w:t>
      </w:r>
    </w:p>
    <w:p>
      <w:pPr>
        <w:spacing w:line="240" w:lineRule="auto" w:before="0" w:after="80"/>
        <w:jc w:val="both"/>
      </w:pPr>
      <w:r>
        <w:rPr>
          <w:rFonts w:ascii="Times New Roman" w:hAnsi="Times New Roman"/>
          <w:i w:val="0"/>
          <w:sz w:val="19"/>
        </w:rPr>
        <w:t>La rápida evolución tecnológica acumulada entre 2020 y 2025 exige una consolidación metodológica rigurosa que sirva de guía a investigadores y líderes de tecnología para identificar qué arquitecturas de IA ofrecen el mejor balance entre precisión, velocidad y costo de integración.</w:t>
      </w:r>
    </w:p>
    <w:p>
      <w:pPr>
        <w:spacing w:line="240" w:lineRule="auto" w:before="0" w:after="80"/>
        <w:ind w:left="160"/>
        <w:jc w:val="both"/>
      </w:pPr>
      <w:r>
        <w:rPr>
          <w:rFonts w:ascii="Times New Roman" w:hAnsi="Times New Roman"/>
          <w:i w:val="0"/>
          <w:sz w:val="19"/>
        </w:rPr>
        <w:t>Fundamentada en el marco PICOC [1], la investigación plantea la siguiente Pregunta Maestra:</w:t>
      </w:r>
    </w:p>
    <w:p>
      <w:pPr>
        <w:spacing w:line="240" w:lineRule="auto" w:before="0" w:after="80"/>
        <w:ind w:left="240"/>
        <w:jc w:val="both"/>
      </w:pPr>
      <w:r>
        <w:rPr>
          <w:rFonts w:ascii="Times New Roman" w:hAnsi="Times New Roman"/>
          <w:i/>
          <w:sz w:val="19"/>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pPr>
        <w:spacing w:line="240" w:lineRule="auto" w:before="0" w:after="80"/>
        <w:jc w:val="both"/>
      </w:pPr>
      <w:r>
        <w:rPr>
          <w:rFonts w:ascii="Times New Roman" w:hAnsi="Times New Roman"/>
          <w:i w:val="0"/>
          <w:sz w:val="19"/>
        </w:rPr>
        <w:t>El objetivo general consiste en sintetizar críticamente la evidencia empírica acumulada a nivel internacional sobre las arquitecturas de IA/IDP, cuantificando su rendimiento y comparando sus ventajas frente a los métodos convencionales en entornos corporativos.</w:t>
      </w:r>
    </w:p>
    <w:p>
      <w:pPr>
        <w:spacing w:line="240" w:lineRule="auto" w:before="0" w:after="50"/>
        <w:jc w:val="both"/>
      </w:pPr>
      <w:r>
        <w:rPr>
          <w:rFonts w:ascii="Times New Roman" w:hAnsi="Times New Roman"/>
          <w:i w:val="0"/>
          <w:sz w:val="19"/>
        </w:rPr>
        <w:t>Para alcanzar dicho objetivo general, se formulan cuatro objetivos específicos alineados con las interrogantes de investigación:</w:t>
      </w:r>
    </w:p>
    <w:p>
      <w:pPr>
        <w:spacing w:line="240" w:lineRule="auto" w:before="0" w:after="50"/>
        <w:jc w:val="both"/>
      </w:pPr>
      <w:r>
        <w:rPr>
          <w:rFonts w:ascii="Times New Roman" w:hAnsi="Times New Roman"/>
          <w:i w:val="0"/>
          <w:sz w:val="19"/>
        </w:rPr>
        <w:t>1) Caracterizar y clasificar las familias algorítmicas y arquitecturas neuronales predominantes en el procesamiento de documentos empresariales (PI1).</w:t>
      </w:r>
    </w:p>
    <w:p>
      <w:pPr>
        <w:spacing w:line="240" w:lineRule="auto" w:before="0" w:after="50"/>
        <w:jc w:val="both"/>
      </w:pPr>
      <w:r>
        <w:rPr>
          <w:rFonts w:ascii="Times New Roman" w:hAnsi="Times New Roman"/>
          <w:i w:val="0"/>
          <w:sz w:val="19"/>
        </w:rPr>
        <w:t>2) Cuantificar el desempeño empírico alcanzado en benchmarks públicos y privados según las métricas estándar de extracción y reconocimiento (PI2).</w:t>
      </w:r>
    </w:p>
    <w:p>
      <w:pPr>
        <w:spacing w:line="240" w:lineRule="auto" w:before="0" w:after="50"/>
        <w:jc w:val="both"/>
      </w:pPr>
      <w:r>
        <w:rPr>
          <w:rFonts w:ascii="Times New Roman" w:hAnsi="Times New Roman"/>
          <w:i w:val="0"/>
          <w:sz w:val="19"/>
        </w:rPr>
        <w:t>3) Evaluar comparativamente el grado de mejora y eficiencia de los modelos de IA frente al OCR convencional y métodos basados en reglas (PI3).</w:t>
      </w:r>
    </w:p>
    <w:p>
      <w:pPr>
        <w:spacing w:line="240" w:lineRule="auto" w:before="0" w:after="80"/>
        <w:jc w:val="both"/>
      </w:pPr>
      <w:r>
        <w:rPr>
          <w:rFonts w:ascii="Times New Roman" w:hAnsi="Times New Roman"/>
          <w:i w:val="0"/>
          <w:sz w:val="19"/>
        </w:rPr>
        <w:t>4) Clasificar las tipologías documentales empresariales y evaluar su grado de validación e integración en plataformas ERP/CRM corporativas (PI4).</w:t>
      </w:r>
    </w:p>
    <w:p>
      <w:pPr>
        <w:keepNext/>
        <w:spacing w:before="160" w:after="40"/>
        <w:jc w:val="left"/>
      </w:pPr>
      <w:r>
        <w:rPr>
          <w:rFonts w:ascii="Times New Roman" w:hAnsi="Times New Roman"/>
          <w:b/>
          <w:i/>
          <w:sz w:val="19"/>
        </w:rPr>
        <w:t>D. Estructura del Documento</w:t>
      </w:r>
    </w:p>
    <w:p>
      <w:pPr>
        <w:spacing w:line="240" w:lineRule="auto" w:before="0" w:after="80"/>
        <w:jc w:val="both"/>
      </w:pPr>
      <w:r>
        <w:rPr>
          <w:rFonts w:ascii="Times New Roman" w:hAnsi="Times New Roman"/>
          <w:i w:val="0"/>
          <w:sz w:val="19"/>
        </w:rPr>
        <w:t>El artículo se estructura de la siguiente manera: la Sección II detalla la Metodología de la Revisión Sistemática (protocolo, marco PICOC, estrategia de búsqueda calibrada, criterios de inclusión/exclusión, flujo PRISMA 2020, control de calidad Kitchenham, matriz de exclusión PRISMA 2020 y mapeo de síntesis); la Sección III expone los Resultados empíricos estructurados en cuatro bloques analíticos en respuesta a las preguntas directas e indirectas de investigación; la Declaración Ética formaliza el uso responsable de tecnologías de IA generativa y la disponibilidad de datos; y la Sección IV compendia las Referencias Bibliográficas en formato IEEE estricto.</w:t>
      </w:r>
    </w:p>
    <w:p>
      <w:pPr>
        <w:keepNext/>
        <w:spacing w:before="220" w:after="80"/>
        <w:jc w:val="center"/>
      </w:pPr>
      <w:r>
        <w:rPr>
          <w:rFonts w:ascii="Times New Roman" w:hAnsi="Times New Roman"/>
          <w:b/>
          <w:sz w:val="20"/>
        </w:rPr>
        <w:t>II. METODOLOGÍA DE LA REVISIÓN SISTEMÁTICA</w:t>
      </w:r>
    </w:p>
    <w:p>
      <w:pPr>
        <w:keepNext/>
        <w:spacing w:before="160" w:after="40"/>
        <w:jc w:val="left"/>
      </w:pPr>
      <w:r>
        <w:rPr>
          <w:rFonts w:ascii="Times New Roman" w:hAnsi="Times New Roman"/>
          <w:b/>
          <w:i/>
          <w:sz w:val="19"/>
        </w:rPr>
        <w:t>A. Encuadre Metodológico y Estándares</w:t>
      </w:r>
    </w:p>
    <w:p>
      <w:pPr>
        <w:spacing w:line="240" w:lineRule="auto" w:before="0" w:after="80"/>
        <w:jc w:val="both"/>
      </w:pPr>
      <w:r>
        <w:rPr>
          <w:rFonts w:ascii="Times New Roman" w:hAnsi="Times New Roman"/>
          <w:i w:val="0"/>
          <w:sz w:val="19"/>
        </w:rPr>
        <w:t>La revisión sistemática se diseñó y ejecutó siguiendo las directrices metodológicas de Kitchenham &amp; Charters (2007) [1] para la ingeniería de software y sistemas de información, y se reporta en conformidad con la declaración PRISMA 2020 (Preferred Reporting Items for Systematic Reviews and Meta-Analyses) [2]. El protocolo metodológico se formalizó con anterioridad a las etapas de cribado y extracción de datos, incorporando una fase de calibración exploratoria piloto (Iteración 1) para neutralizar el ruido terminológico. Conforme a las recomendaciones de reporte del ítem 24a de PRISMA 2020, se declara que la revisión no fue registrada en plataformas clínicas externas (como PROSPERO); en su lugar, los criterios de elegibilidad, la matriz de calidad, los scripts computacionales y las decisiones de arbitraje fueron establecidos formalmente bajo supervisión docente y resguardados con control de versiones en el repositorio del proyecto (GitHub) para garantizar total transparencia y reproducibilidad.</w:t>
      </w:r>
    </w:p>
    <w:p>
      <w:pPr>
        <w:keepNext/>
        <w:spacing w:before="160" w:after="40"/>
        <w:jc w:val="left"/>
      </w:pPr>
      <w:r>
        <w:rPr>
          <w:rFonts w:ascii="Times New Roman" w:hAnsi="Times New Roman"/>
          <w:b/>
          <w:i/>
          <w:sz w:val="19"/>
        </w:rPr>
        <w:t>B. Delimitación Temática y Marco PICOC</w:t>
      </w:r>
    </w:p>
    <w:p>
      <w:pPr>
        <w:spacing w:line="240" w:lineRule="auto" w:before="0" w:after="80"/>
        <w:jc w:val="both"/>
      </w:pPr>
      <w:r>
        <w:rPr>
          <w:rFonts w:ascii="Times New Roman" w:hAnsi="Times New Roman"/>
          <w:i w:val="0"/>
          <w:sz w:val="19"/>
        </w:rPr>
        <w:t>Para formalizar el alcance conceptual y prevenir ambigüedades, se estructuró la investigación mediante el marco PICOC (ver Tabla I), delimitando el dominio a sistemas empresariales corporativos estrictamente privados (ERP, CRM, DMS), excluyendo expedientes clínicos hospitalarios, documentos gubernamentales y archivos históricos.</w:t>
      </w:r>
    </w:p>
    <w:p>
      <w:pPr>
        <w:keepNext/>
        <w:spacing w:before="140" w:after="20"/>
        <w:jc w:val="center"/>
      </w:pPr>
      <w:r>
        <w:rPr>
          <w:rFonts w:ascii="Times New Roman" w:hAnsi="Times New Roman"/>
          <w:b/>
          <w:sz w:val="16"/>
        </w:rPr>
        <w:t>TABLA I</w:t>
        <w:br/>
      </w:r>
      <w:r>
        <w:rPr>
          <w:rFonts w:ascii="Times New Roman" w:hAnsi="Times New Roman"/>
          <w:sz w:val="16"/>
        </w:rPr>
        <w:t>COMPONENTES DEL MARCO PICOC</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Componente</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Definición para este Estudio</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Justificación Metodológica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 — Población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Sistemas de información empresariales (ERP, CRM, DMS) y flujos internos de registro documental.</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Entorno operativo corporativo donde se generan cuellos de botella por ingreso manual.</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 — Intervención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Modelos de IA e IDP (Visión-Lenguaje, LayoutLM, Transformers multimodales, KIE, OCR profundo).</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Tecnología de automatización cognitiva cuyo rendimiento empírico se evalúa.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 — Comparación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Ingreso manual de datos o procesamiento tradicional basado en reglas fijas y plantillas rígidas.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Línea base convencional frente a la cual se mide la ganancia en exactitud y velocidad.</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O — Resultado</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Niveles de automatización, reducción de carga laboral, exactitud (F1-score, CER/WER) y latencia.</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Variables cuantitativas críticas para la viabilidad técnica y operativa.</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 — Contexto</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Entornos empresariales corporativos privados y ventana temporal comprendida entre 2020 y 2025.</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Período de maduración de los modelos neuronales multimodales aplicados.</w:t>
            </w:r>
          </w:p>
        </w:tc>
      </w:tr>
    </w:tbl>
    <w:p>
      <w:pPr>
        <w:keepNext/>
        <w:spacing w:before="160" w:after="40"/>
        <w:jc w:val="left"/>
      </w:pPr>
      <w:r>
        <w:rPr>
          <w:rFonts w:ascii="Times New Roman" w:hAnsi="Times New Roman"/>
          <w:b/>
          <w:i/>
          <w:sz w:val="19"/>
        </w:rPr>
        <w:t>C. Descomposición en Preguntas de Investigación (PI y PD)</w:t>
      </w:r>
    </w:p>
    <w:p>
      <w:pPr>
        <w:spacing w:line="240" w:lineRule="auto" w:before="0" w:after="80"/>
        <w:jc w:val="both"/>
      </w:pPr>
      <w:r>
        <w:rPr>
          <w:rFonts w:ascii="Times New Roman" w:hAnsi="Times New Roman"/>
          <w:i w:val="0"/>
          <w:sz w:val="19"/>
        </w:rPr>
        <w:t>La pregunta maestra se desglosa operativamente en cuatro Preguntas de Investigación (PI) temáticas y tres Preguntas Descriptivas (PD) de carácter bibliométrico (ver Tabla II):</w:t>
      </w:r>
    </w:p>
    <w:p>
      <w:pPr>
        <w:keepNext/>
        <w:spacing w:before="140" w:after="20"/>
        <w:jc w:val="center"/>
      </w:pPr>
      <w:r>
        <w:rPr>
          <w:rFonts w:ascii="Times New Roman" w:hAnsi="Times New Roman"/>
          <w:b/>
          <w:sz w:val="16"/>
        </w:rPr>
        <w:t>TABLA II</w:t>
        <w:br/>
      </w:r>
      <w:r>
        <w:rPr>
          <w:rFonts w:ascii="Times New Roman" w:hAnsi="Times New Roman"/>
          <w:sz w:val="16"/>
        </w:rPr>
        <w:t>PREGUNTAS DE INVESTIGACIÓN TEMÁTICAS (PI) Y BIBLIOMÉTRICAS (PD)</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Código</w:t>
            </w:r>
          </w:p>
        </w:tc>
        <w:tc>
          <w:tcPr>
            <w:tcW w:type="dxa" w:w="28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Pregunta de Investigación Formulada</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Eje de Evidencia / PICOC</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PI1</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arquitecturas y enfoques algorítmicos de IA/IDP (secuencias, grafos, transformers multimodales, VLM) se han implementado en documentos empresariales?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Enfoques algorítmicos (Intervención)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PI2</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niveles de rendimiento cuantitativo (F1-score, exactitud, reducción de latencia) reportan las soluciones de IA/IDP en extracción documental?</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Rendimiento cuantitativo (Outcome)</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PI3</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 qué medida el procesamiento con IA/IDP reduce los tiempos de ciclo y la carga de error operativo frente al ingreso manual y reglas?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Contraste vs tradicional (Comparación)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PI4</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 qué tipologías documentales (facturas, recibos, órdenes) y sistemas ERP/CRM se han validado empíricamente los modelos?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Aplicabilidad corporativa (Población)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PD1</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¿Cómo ha evolucionado el volumen de producción científica anual sobre IA/IDP entre 2020 y 2025?</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Evolución temporal (Contexto)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PD2</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autores, revistas indexadas y países concentran la mayor productividad e impacto académico?</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Productividad y canales científicos</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PD3</w:t>
            </w:r>
          </w:p>
        </w:tc>
        <w:tc>
          <w:tcPr>
            <w:tcW w:type="dxa" w:w="28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¿Qué diseños metodológicos y tipologías de datasets (públicos vs. privados) predominan en la literatura?</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Madurez empírica y reproducibilidad</w:t>
            </w:r>
          </w:p>
        </w:tc>
      </w:tr>
    </w:tbl>
    <w:p>
      <w:pPr>
        <w:keepNext/>
        <w:spacing w:before="160" w:after="40"/>
        <w:jc w:val="left"/>
      </w:pPr>
      <w:r>
        <w:rPr>
          <w:rFonts w:ascii="Times New Roman" w:hAnsi="Times New Roman"/>
          <w:b/>
          <w:i/>
          <w:sz w:val="19"/>
        </w:rPr>
        <w:t>D. Estrategia de Búsqueda, Ecuaciones Calibradas y Evolución de Iteraciones</w:t>
      </w:r>
    </w:p>
    <w:p>
      <w:pPr>
        <w:spacing w:line="240" w:lineRule="auto" w:before="0" w:after="80"/>
        <w:jc w:val="both"/>
      </w:pPr>
      <w:r>
        <w:rPr>
          <w:rFonts w:ascii="Times New Roman" w:hAnsi="Times New Roman"/>
          <w:i w:val="0"/>
          <w:sz w:val="19"/>
        </w:rPr>
        <w:t>La estrategia de búsqueda se estructuró mediante bloques booleanos simétricos. Para controlar el riesgo de polisemia del acrónimo aislado 'ERP' (el cual en las pruebas preliminares colisionaba con la literatura neurofisiológica y clínica sobre Event-Related Potentials en electroencefalogramas), se reemplazó formalmente dicha sigla por las frases compuestas 'enterprise resource planning' OR 'ERP system*', reduciendo sustancialmente el ruido biomédico de neurociencias (p. ej., EEG) (ver Tabla III).</w:t>
      </w:r>
    </w:p>
    <w:p>
      <w:pPr>
        <w:keepNext/>
        <w:spacing w:before="140" w:after="20"/>
        <w:jc w:val="center"/>
      </w:pPr>
      <w:r>
        <w:rPr>
          <w:rFonts w:ascii="Times New Roman" w:hAnsi="Times New Roman"/>
          <w:b/>
          <w:sz w:val="16"/>
        </w:rPr>
        <w:t>TABLA III</w:t>
        <w:br/>
      </w:r>
      <w:r>
        <w:rPr>
          <w:rFonts w:ascii="Times New Roman" w:hAnsi="Times New Roman"/>
          <w:sz w:val="16"/>
        </w:rPr>
        <w:t>MATRIZ DE DESCRIPTORES Y ECUACIÓN BOOLEANA CALIBRADA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Bloque</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Concepto Base</w:t>
            </w:r>
          </w:p>
        </w:tc>
        <w:tc>
          <w:tcPr>
            <w:tcW w:type="dxa" w:w="23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Descriptores y Sinónimos Técnicos en Inglés</w:t>
            </w:r>
          </w:p>
        </w:tc>
      </w:tr>
      <w:tr>
        <w:trPr>
          <w:cantSplit/>
        </w:trPr>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Población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Sistemas empresariales y documentos</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"business document*" OR "financial document*" OR "invoice*" OR "receipt*" OR "commercial document*" OR "purchase order*" OR "visually-rich document*" OR "enterprise resource planning" OR "ERP system*"</w:t>
            </w:r>
          </w:p>
        </w:tc>
      </w:tr>
      <w:tr>
        <w:trPr>
          <w:cantSplit/>
        </w:trPr>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Intervención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IA y procesamiento documental</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"intelligent document processing" OR "IDP" OR "document AI" OR "document understanding" OR "key information extraction" OR "KIE" OR "LayoutLM*" OR "optical character recognition" OR "OCR" OR "multimodal transformer*" OR "vision-language"</w:t>
            </w:r>
          </w:p>
        </w:tc>
      </w:tr>
      <w:tr>
        <w:trPr>
          <w:cantSplit/>
        </w:trPr>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Resultado</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Automatización, exactitud y eficiencia</w:t>
            </w:r>
          </w:p>
        </w:tc>
        <w:tc>
          <w:tcPr>
            <w:tcW w:type="dxa" w:w="23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"automat*" OR "extract*" OR "recognition" OR "accuracy" OR "F1" OR "performance" OR "efficiency" OR "throughput"</w:t>
            </w:r>
          </w:p>
        </w:tc>
      </w:tr>
    </w:tbl>
    <w:p>
      <w:pPr>
        <w:spacing w:line="240" w:lineRule="auto" w:before="0" w:after="80"/>
        <w:jc w:val="both"/>
      </w:pPr>
      <w:r>
        <w:rPr>
          <w:rFonts w:ascii="Times New Roman" w:hAnsi="Times New Roman"/>
          <w:b/>
          <w:sz w:val="19"/>
        </w:rPr>
        <w:t xml:space="preserve">Evolución y Calibración Metodológica de Ecuaciones (Iteración 1 vs. Iteración 2): </w:t>
      </w:r>
      <w:r>
        <w:rPr>
          <w:rFonts w:ascii="Times New Roman" w:hAnsi="Times New Roman"/>
          <w:i w:val="0"/>
          <w:sz w:val="19"/>
        </w:rPr>
        <w:t>En la fase exploratoria preliminar se ejecutó una búsqueda piloto (Iteración 1) con descriptores rígidos de ERP y OCR clásico ('ERP' aislado AND 'OCR' AND 'document processing'), arrojando 140 registros en Scopus y 123 en WoS (N = 263). Dicha iteración fue formalmente descartada por dos deficiencias metodológicas críticas: (a) un 28.5 % de contaminación semántica en la muestra piloto (75 de los 263 registros brutos correspondían a estudios neurofisiológicos de potenciales evocados en electroencefalogramas, EEG) y (b) la omisión inadvertida de la literatura moderna de KIE, modelos de visión-lenguaje y comprensión de documentos visualmente ricos (VRD). Para subsanar esto, se diseñó la Iteración 2 (calibrada definitiva, archivada en el repositorio metodológico auditable de datos primarios), la cual expandió los términos a expresiones compuestas ('enterprise resource planning' OR 'ERP system*'), incorporó operadores booleanos para modelos de visión-lenguaje y limitó la tipología documental estrictamente a artículos de revista arbitrados (Document Type = Article). Esta calibración recuperó 3,270 registros brutos en Scopus y 431 en WoS (3,701 brutos), que tras filtros nativos de plataforma se redujeron a 311 y 266 registros respectivamente (total n = 577), optimizando la especificidad temático-empresarial y la exhaustividad del rastreo.</w:t>
      </w:r>
    </w:p>
    <w:p>
      <w:pPr>
        <w:spacing w:line="240" w:lineRule="auto" w:before="0" w:after="80"/>
        <w:jc w:val="both"/>
      </w:pPr>
      <w:r>
        <w:rPr>
          <w:rFonts w:ascii="Times New Roman" w:hAnsi="Times New Roman"/>
          <w:b/>
          <w:sz w:val="19"/>
        </w:rPr>
        <w:t xml:space="preserve">Nota Aclaratoria sobre Publicaciones Anticipadas (Early Access 2025/2026): </w:t>
      </w:r>
      <w:r>
        <w:rPr>
          <w:rFonts w:ascii="Times New Roman" w:hAnsi="Times New Roman"/>
          <w:i w:val="0"/>
          <w:sz w:val="19"/>
        </w:rPr>
        <w:t>Dentro del corpus primario se identifican tres artículos ([3] Wei et al., [65] Giovannini et al., y [66] Raja et al.) cuya fecha de asignación formal a volumen de revista impresa figura con año 2026. Se precisa que dichos registros fueron publicados oficialmente en línea en modalidad Early Access / Advance Online Publication entre agosto y diciembre de 2025; por consiguiente, tanto Scopus como Web of Science Core Collection los indexaron legítimamente dentro del período de rastreo, cumpliendo estrictamente con el criterio de inclusión IN1 (publicación en línea 2020–2025) y los estándares de reporte de PRISMA 2020 [2].</w:t>
      </w:r>
    </w:p>
    <w:p>
      <w:pPr>
        <w:spacing w:line="240" w:lineRule="auto" w:before="0" w:after="80"/>
        <w:jc w:val="both"/>
      </w:pPr>
      <w:r>
        <w:rPr>
          <w:rFonts w:ascii="Times New Roman" w:hAnsi="Times New Roman"/>
          <w:b/>
          <w:sz w:val="19"/>
        </w:rPr>
        <w:t xml:space="preserve">Ecuaciones de Búsqueda Literales Ejecutadas: </w:t>
      </w:r>
      <w:r>
        <w:rPr>
          <w:rFonts w:ascii="Times New Roman" w:hAnsi="Times New Roman"/>
          <w:i w:val="0"/>
          <w:sz w:val="19"/>
        </w:rPr>
        <w:t>Para garantizar la estricta reproducibilidad exigida por el estándar PRISMA 2020 [2], las ecuaciones literales ejecutadas fueron adaptadas sintácticamente a cada plataforma: (a) En Scopus (TITLE-ABS-KEY): TITLE-ABS-KEY(("business document*" OR "financial document*" OR "administrative document*" OR "commercial document*" OR "invoice*" OR "receipt*" OR "purchase order*" OR "visually-rich document*" OR "semi-structured document*" OR "document image*" OR "scanned document*" OR "document management" OR "business workflow*" OR "enterprise resource planning" OR "ERP system*") AND ("intelligent document processing" OR "IDP" OR "document AI" OR "document understanding" OR "key information extraction" OR "KIE" OR "LayoutLM*" OR "form understanding" OR "table extraction" OR "table structure recognition" OR "optical character recognition" OR "OCR" OR "information extraction" OR "multimodal transformer*" OR "vision-language") AND ("automat*" OR "validat*" OR "extract*" OR "recognition" OR "accuracy" OR "efficiency")); (b) En Web of Science Core Collection (TS): TS=(("business document*" OR "financial document*" OR "administrative document*" OR "commercial document*" OR "invoice*" OR "receipt*" OR "purchase order*" OR "visually-rich document*" OR "semi-structured document*" OR "document image*" OR "scanned document*" OR "document management" OR "business workflow*" OR "enterprise resource planning" OR "ERP system*") AND ("intelligent document processing" OR "IDP" OR "document AI" OR "document understanding" OR "key information extraction" OR "KIE" OR "LayoutLM*" OR "form understanding" OR "table extraction" OR "table structure recognition" OR "optical character recognition" OR "OCR" OR "information extraction" OR "multimodal transformer*" OR "vision-language") AND ("automat*" OR "validat*" OR "extract*" OR "recognition" OR "accuracy" OR "efficiency")).</w:t>
      </w:r>
    </w:p>
    <w:p>
      <w:pPr>
        <w:keepNext/>
        <w:spacing w:before="160" w:after="40"/>
        <w:jc w:val="left"/>
      </w:pPr>
      <w:r>
        <w:rPr>
          <w:rFonts w:ascii="Times New Roman" w:hAnsi="Times New Roman"/>
          <w:b/>
          <w:i/>
          <w:sz w:val="19"/>
        </w:rPr>
        <w:t>E. Registro Maestro de Consultas y Exportaciones</w:t>
      </w:r>
    </w:p>
    <w:p>
      <w:pPr>
        <w:spacing w:line="240" w:lineRule="auto" w:before="0" w:after="80"/>
        <w:jc w:val="both"/>
      </w:pPr>
      <w:r>
        <w:rPr>
          <w:rFonts w:ascii="Times New Roman" w:hAnsi="Times New Roman"/>
          <w:b/>
          <w:sz w:val="19"/>
        </w:rPr>
        <w:t xml:space="preserve">Justificación Metodológica de Asimetría en Filtrado Nativo: </w:t>
      </w:r>
      <w:r>
        <w:rPr>
          <w:rFonts w:ascii="Times New Roman" w:hAnsi="Times New Roman"/>
          <w:i w:val="0"/>
          <w:sz w:val="19"/>
        </w:rPr>
        <w:t>Las ecuaciones calibradas se ejecutaron en Scopus y Web of Science Core Collection bajo fecha calendario auditable. Si bien las ecuaciones fueron estrictamente simétricas en su arquitectura booleana y conceptual, se constató una notable disparidad en los volúmenes brutos iniciales (3,270 en Scopus frente a 431 en WoS). Esta asimetría en las tasas de reducción (-90.5 % en Scopus frente a -38.3 % en WoS) responde a las marcadas diferencias estructurales de indexación: Scopus indexa una masiva literatura de actas de congresos (Conference Proceedings de IEEE, ACM y Springer LNCS) y series monográficas previas a 2020 que saturan los resultados de IA documental; al aplicar los filtros nativos de tipo documental (Document Type = Article) y ventana temporal 2020–2025, se depuraron 2,938 publicaciones de actas y años previos, quedando 332 registros y finalmente 311 tras el filtro de idioma inglés/español (excluyendo 21 registros en otros idiomas). Por su parte, Web of Science Core Collection opera de forma predeterminada sobre colecciones altamente selectivas de revistas periódicas (SCIE, SSCI, ESCI), arrojando 386 registros tras el filtro temporal y 266 tras los filtros de artículo e idioma. La Tabla IV detalla la bitácora paso a paso de reducción por filtro nativo.</w:t>
      </w:r>
    </w:p>
    <w:p>
      <w:pPr>
        <w:keepNext/>
        <w:spacing w:before="140" w:after="20"/>
        <w:jc w:val="center"/>
      </w:pPr>
      <w:r>
        <w:rPr>
          <w:rFonts w:ascii="Times New Roman" w:hAnsi="Times New Roman"/>
          <w:b/>
          <w:sz w:val="16"/>
        </w:rPr>
        <w:t>TABLA IV</w:t>
        <w:br/>
      </w:r>
      <w:r>
        <w:rPr>
          <w:rFonts w:ascii="Times New Roman" w:hAnsi="Times New Roman"/>
          <w:sz w:val="16"/>
        </w:rPr>
        <w:t>BITÁCORA DE FILTRADO NATIVO PASO A PASO Y REGISTRO MAESTRO POR BASE INDEXADA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Base de Datos y Campo</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Bruto (n)</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Años + Doc.</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Idioma</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Exportado</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Reducción</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Scopus (TITLE-ABS-KEY)</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3,270</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332</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311</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311</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-90.5 %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WoS Core Coll. (TS)*</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431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386</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266</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266</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-38.3 %</w:t>
            </w:r>
          </w:p>
        </w:tc>
      </w:tr>
      <w:tr>
        <w:trPr>
          <w:cantSplit/>
        </w:trPr>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Consolidado</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3,701</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718</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577</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577</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-84.4 %</w:t>
            </w:r>
          </w:p>
        </w:tc>
      </w:tr>
    </w:tbl>
    <w:p>
      <w:pPr>
        <w:spacing w:line="240" w:lineRule="auto" w:before="0" w:after="80"/>
        <w:jc w:val="both"/>
      </w:pPr>
      <w:r>
        <w:rPr>
          <w:rFonts w:ascii="Times New Roman" w:hAnsi="Times New Roman"/>
          <w:i/>
          <w:sz w:val="19"/>
        </w:rPr>
        <w:t>*Nota metodológica: En WoS el filtro temporal arrojó 386 registros, reduciéndose a 266 tras aplicar simultáneamente tipo Article e idioma inglés/español. Los 577 registros consolidados se encuentran archivados en scopus_export_it2.csv (n = 311) y wos_export_it2.xls (n = 266).</w:t>
      </w:r>
    </w:p>
    <w:p>
      <w:pPr>
        <w:keepNext/>
        <w:spacing w:before="160" w:after="40"/>
        <w:jc w:val="left"/>
      </w:pPr>
      <w:r>
        <w:rPr>
          <w:rFonts w:ascii="Times New Roman" w:hAnsi="Times New Roman"/>
          <w:b/>
          <w:i/>
          <w:sz w:val="19"/>
        </w:rPr>
        <w:t>F. Criterios de Elegibilidad Codificados</w:t>
      </w:r>
    </w:p>
    <w:p>
      <w:pPr>
        <w:spacing w:line="240" w:lineRule="auto" w:before="0" w:after="80"/>
        <w:jc w:val="both"/>
      </w:pPr>
      <w:r>
        <w:rPr>
          <w:rFonts w:ascii="Times New Roman" w:hAnsi="Times New Roman"/>
          <w:i w:val="0"/>
          <w:sz w:val="19"/>
        </w:rPr>
        <w:t>Se establecieron criterios de inclusión y exclusión codificados para gobernar las decisiones del flujo de selección (ver Tabla V):</w:t>
      </w:r>
    </w:p>
    <w:p>
      <w:pPr>
        <w:keepNext/>
        <w:spacing w:before="140" w:after="20"/>
        <w:jc w:val="center"/>
      </w:pPr>
      <w:r>
        <w:rPr>
          <w:rFonts w:ascii="Times New Roman" w:hAnsi="Times New Roman"/>
          <w:b/>
          <w:sz w:val="16"/>
        </w:rPr>
        <w:t>TABLA V</w:t>
        <w:br/>
      </w:r>
      <w:r>
        <w:rPr>
          <w:rFonts w:ascii="Times New Roman" w:hAnsi="Times New Roman"/>
          <w:sz w:val="16"/>
        </w:rPr>
        <w:t>CRITERIOS DE INCLUSIÓN Y EXCLUSIÓN CODIFICADOS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Tipo</w:t>
            </w:r>
          </w:p>
        </w:tc>
        <w:tc>
          <w:tcPr>
            <w:tcW w:type="dxa" w:w="23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Criterio Metodológico de Elegibilidad</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Mecanismo de Verificación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Ventana temporal de publicación en línea comprendida entre 2020 y 2025 (incluye artículos Early Access publicados en línea en 2025 con volumen asignado a 2026).</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nativos en Scopus y Web of Science.</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IN2</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Artículos de revista científica revisados por pares (journal articles).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 nativo Document Type = Article (exclusión de actas de congresos, preprints y literatura gris conforme al estándar de rigor de revista).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IN3</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Indexación en las bases principales Scopus o Web of Science Core Collection.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Bases suscritas por la institución académica.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IN4</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Modelos de IA/IDP aplicados a documentos empresariales y semiestructurados.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Cribado temático de abstract y texto completo.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Publicaciones redactadas en idiomas distintos al inglés o español.</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lingüísticos nativos de plataforma.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EX2</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Estudios no accesibles a texto completo a través de suscripciones institucionales.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Verificación en fase de elegibilidad (n = 5).</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EX3</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Revisiones secundarias (surveys, mappings) sin experimentación primaria propia.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 en fase de elegibilidad (n = 8).</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EX4</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Ámbitos ajenos: historias clínicas, manuscritos antiguos, semiconductores.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Cribado de título/resumen (n = 35).</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EX-n</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Estudios sin métricas empíricas formales o de OCR genérico sin enfoque corporativo.</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Cribado (n = 6) y elegibilidad (n = 153).</w:t>
            </w:r>
          </w:p>
        </w:tc>
      </w:tr>
    </w:tbl>
    <w:p>
      <w:pPr>
        <w:keepNext/>
        <w:spacing w:before="160" w:after="40"/>
        <w:jc w:val="left"/>
      </w:pPr>
      <w:r>
        <w:rPr>
          <w:rFonts w:ascii="Times New Roman" w:hAnsi="Times New Roman"/>
          <w:b/>
          <w:i/>
          <w:sz w:val="19"/>
        </w:rPr>
        <w:t>G. Flujo PRISMA 2020 y Transición Cuantitativa</w:t>
      </w:r>
    </w:p>
    <w:p>
      <w:pPr>
        <w:spacing w:line="240" w:lineRule="auto" w:before="0" w:after="80"/>
        <w:jc w:val="both"/>
      </w:pPr>
      <w:r>
        <w:rPr>
          <w:rFonts w:ascii="Times New Roman" w:hAnsi="Times New Roman"/>
          <w:i w:val="0"/>
          <w:sz w:val="19"/>
        </w:rPr>
        <w:t>El flujo metodológico de selección se ejecutó de forma determinista y reproducible a través de cuatro fases concatenadas sin cortes artificiales de muestra (ver Tabla VI y Fig. 1):</w:t>
      </w:r>
    </w:p>
    <w:p>
      <w:pPr>
        <w:spacing w:line="240" w:lineRule="auto" w:before="0" w:after="80"/>
        <w:jc w:val="both"/>
      </w:pPr>
      <w:r>
        <w:rPr>
          <w:rFonts w:ascii="Times New Roman" w:hAnsi="Times New Roman"/>
          <w:b/>
          <w:sz w:val="19"/>
        </w:rPr>
        <w:t xml:space="preserve">Protocolo de Fiabilidad Intra-Evaluador y Arbitraje Metodológico: </w:t>
      </w:r>
      <w:r>
        <w:rPr>
          <w:rFonts w:ascii="Times New Roman" w:hAnsi="Times New Roman"/>
          <w:i w:val="0"/>
          <w:sz w:val="19"/>
        </w:rPr>
        <w:t>Los procesos de cribado, evaluación y extracción fueron conducidos por el autor principal aplicando un protocolo estandarizado de fiabilidad intra-evaluador test-retest a ciegas (con un intervalo de separación temporal de tres semanas entre la primera y segunda evaluación), conforme a las directrices metodológicas de Kitchenham &amp; Charters [1] y los estándares de reporte de PRISMA 2020 [2]. Para la fase de cribado por título y resumen se evaluó una muestra de n = 27 registros (8.0 % de los 338 registros únicos, incluyendo estudios incluidos y excluidos), alcanzando una proporción de acuerdo observado Po = 92.6 % (25 de 27 acuerdos) y un coeficiente de fiabilidad Kappa de Cohen κ = 0.81 (IC95%: [0.55, 1.00], clasificado como casi perfecto al ser κ ≥ 0.81). En la fase de elegibilidad a texto completo (n = 27, 9.1 % de los 297 textos completos), se obtuvo Po = 96.3 % (26 de 27 acuerdos) y un κ = 0.87 (IC95%: [0.61, 1.00]), ratificando una estabilidad casi perfecta. En la extracción de variables sobre el corpus final (n = 27, 20.6 % de N = 131), la fiabilidad test-retest alcanzó κ = 0.89 en familias algorítmicas (PI1) y κ = 0.80 en dirección de efecto SWiM (PI3). Las discrepancias marginales (7.4 % en cribado [2 de 27] y 3.7 % en elegibilidad [1 de 27]) fueron resueltas y dirimidas en sesiones de arbitraje metodológico supervisadas por el docente asesor experto (Mg. Jimmy Sánchez Portugal), mitigando el sesgo del evaluador único; no obstante, se declara explícitamente como limitación metodológica del estudio la no realización de un doble cribado independiente en paralelo.</w:t>
      </w:r>
    </w:p>
    <w:p>
      <w:pPr>
        <w:spacing w:line="240" w:lineRule="auto" w:before="0" w:after="80"/>
        <w:jc w:val="both"/>
      </w:pPr>
      <w:r>
        <w:rPr>
          <w:rFonts w:ascii="Times New Roman" w:hAnsi="Times New Roman"/>
          <w:i w:val="0"/>
          <w:sz w:val="19"/>
        </w:rPr>
        <w:t>1) Fase 1 (Identificación): Se identificaron inicialmente 3,701 registros brutos en Scopus (3,270) y WoS (431). Tras aplicar filtros automatizados de plataforma (tipo de documento artículo y cobertura 2020–2026), se retuvieron 577 artículos de revista (311 en Scopus y 266 en WoS). Posteriormente, el algoritmo de deduplicación por DOI estandarizado y título normalizado eliminó 239 duplicados (238 inter-base y 1 intra-WoS), ingresando 338 registros únicos a cribado.</w:t>
      </w:r>
    </w:p>
    <w:p>
      <w:pPr>
        <w:spacing w:line="240" w:lineRule="auto" w:before="0" w:after="80"/>
        <w:jc w:val="both"/>
      </w:pPr>
      <w:r>
        <w:rPr>
          <w:rFonts w:ascii="Times New Roman" w:hAnsi="Times New Roman"/>
          <w:i w:val="0"/>
          <w:sz w:val="19"/>
        </w:rPr>
        <w:t>2) Fase 2 (Cribado): Bajo protocolo de fiabilidad intra-evaluador test-retest ciego (κ = 0.81, IC95%: [0.55, 1.00]), se excluyeron 41 registros por ruido temático (35 por ámbito clínico/histórico EX4 y 6 sin reporte de métricas empíricas EX-n), pasando 297 estudios a evaluación a texto completo.</w:t>
      </w:r>
    </w:p>
    <w:p>
      <w:pPr>
        <w:spacing w:line="240" w:lineRule="auto" w:before="0" w:after="80"/>
        <w:jc w:val="both"/>
      </w:pPr>
      <w:r>
        <w:rPr>
          <w:rFonts w:ascii="Times New Roman" w:hAnsi="Times New Roman"/>
          <w:i w:val="0"/>
          <w:sz w:val="19"/>
        </w:rPr>
        <w:t>3) Fase 3 (Elegibilidad): Se examinaron los 297 textos completos bajo control de calidad QA (Kitchenham), con fiabilidad test-retest κ = 0.87 (IC95%: [0.61, 1.00]) y arbitraje docente. Se excluyeron 166 registros: 20 documentados individualmente bajo el ítem 16b de PRISMA 2020 [2] (ver Tabla VIII) y 146 de OCR genérico no empresarial.</w:t>
      </w:r>
    </w:p>
    <w:p>
      <w:pPr>
        <w:spacing w:line="240" w:lineRule="auto" w:before="0" w:after="80"/>
        <w:jc w:val="both"/>
      </w:pPr>
      <w:r>
        <w:rPr>
          <w:rFonts w:ascii="Times New Roman" w:hAnsi="Times New Roman"/>
          <w:i w:val="0"/>
          <w:sz w:val="19"/>
        </w:rPr>
        <w:t>4) Fase 4 (Inclusión): El corpus primario final comprende N = 131 estudios de revista científica (100% Journal Articles), distribuidos orgánicamente en 4 estudios nucleares paradigmáticos (4/4), 59 estudios de soporte avanzado (4/4), 49 estudios de soporte temático (3/4), 17 de soporte algorítmico (2/4) y 2 de contextualización (1/4).</w:t>
      </w:r>
    </w:p>
    <w:p>
      <w:pPr>
        <w:keepNext/>
        <w:spacing w:before="140" w:after="20"/>
        <w:jc w:val="center"/>
      </w:pPr>
      <w:r>
        <w:rPr>
          <w:rFonts w:ascii="Times New Roman" w:hAnsi="Times New Roman"/>
          <w:b/>
          <w:sz w:val="16"/>
        </w:rPr>
        <w:t>TABLA VI</w:t>
        <w:br/>
      </w:r>
      <w:r>
        <w:rPr>
          <w:rFonts w:ascii="Times New Roman" w:hAnsi="Times New Roman"/>
          <w:sz w:val="16"/>
        </w:rPr>
        <w:t>TRANSICIÓN CUANTITATIVA DEL FLUJO PRISMA 2020</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Fase PRISMA</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Entrada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Operación Metodológica</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Excluidos</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Salida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 Identificación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3,701 brutos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nativos de plataforma (artículo, 2020–2026)</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-3,124 no elegibles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577 exportados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Deduplicación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577 exportados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Cruce determinista por DOI y título normalizado</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-239 dupl.</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338 únicos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 Cribado</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338 únicos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Evaluación de título/resumen con test-retest (κ = 0.81)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-41 temáticos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297 elegibles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Elegibilidad</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297 texto compl.</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Lectura de texto completo y control QA (κ = 0.87)</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-166 estudios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131 incluidos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Inclusión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131 primarios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Mapeo semántico frente a PI1–PI4 y extracción</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N = 131 final</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Corpus Total</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3,701 brutos</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Embudo metodológico PRISMA 2020 reproducible</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-3,570 excluidos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N = 131 final</w:t>
            </w:r>
          </w:p>
        </w:tc>
      </w:tr>
    </w:tbl>
    <w:p>
      <w:pPr>
        <w:keepNext/>
        <w:spacing w:before="120" w:after="40"/>
        <w:jc w:val="center"/>
      </w:pPr>
      <w:r>
        <w:drawing>
          <wp:inline xmlns:a="http://schemas.openxmlformats.org/drawingml/2006/main" xmlns:pic="http://schemas.openxmlformats.org/drawingml/2006/picture">
            <wp:extent cx="3017520" cy="3976774"/>
            <wp:docPr id="1" name="Picture 1"/>
            <wp:cNvGraphicFramePr>
              <a:graphicFrameLocks noChangeAspect="1"/>
            </wp:cNvGraphicFramePr>
            <a:graphic>
              <a:graphicData uri="http://schemas.openxmlformats.org/drawingml/2006/picture">
                <pic:pic>
                  <pic:nvPicPr>
                    <pic:cNvPr id="0" name="diagrama_flujo_prisma_2020.png"/>
                    <pic:cNvPicPr/>
                  </pic:nvPicPr>
                  <pic:blipFill>
                    <a:blip r:embed="rId9"/>
                    <a:stretch>
                      <a:fillRect/>
                    </a:stretch>
                  </pic:blipFill>
                  <pic:spPr>
                    <a:xfrm>
                      <a:off x="0" y="0"/>
                      <a:ext cx="3017520" cy="3976774"/>
                    </a:xfrm>
                    <a:prstGeom prst="rect"/>
                  </pic:spPr>
                </pic:pic>
              </a:graphicData>
            </a:graphic>
          </wp:inline>
        </w:drawing>
      </w:r>
    </w:p>
    <w:p>
      <w:pPr>
        <w:spacing w:before="40" w:after="120"/>
        <w:jc w:val="both"/>
      </w:pPr>
      <w:r>
        <w:rPr>
          <w:b/>
          <w:sz w:val="16"/>
        </w:rPr>
        <w:t xml:space="preserve">Fig. 1. </w:t>
      </w:r>
      <w:r>
        <w:rPr>
          <w:sz w:val="16"/>
        </w:rPr>
        <w:t>Diagrama de flujo PRISMA 2020 de identificación, cribado, elegibilidad a texto completo (con protocolo de fiabilidad test-retest ciego y arbitraje metodológico, κ = 0.87) e inclusión estratificada de estudios primarios (N = 131).</w:t>
      </w:r>
    </w:p>
    <w:p>
      <w:pPr>
        <w:keepNext/>
        <w:spacing w:before="160" w:after="40"/>
        <w:jc w:val="left"/>
      </w:pPr>
      <w:r>
        <w:rPr>
          <w:rFonts w:ascii="Times New Roman" w:hAnsi="Times New Roman"/>
          <w:b/>
          <w:i/>
          <w:sz w:val="19"/>
        </w:rPr>
        <w:t>H. Evaluación de Calidad Metodológica (QA)</w:t>
      </w:r>
    </w:p>
    <w:p>
      <w:pPr>
        <w:spacing w:line="240" w:lineRule="auto" w:before="0" w:after="80"/>
        <w:jc w:val="both"/>
      </w:pPr>
      <w:r>
        <w:rPr>
          <w:rFonts w:ascii="Times New Roman" w:hAnsi="Times New Roman"/>
          <w:i w:val="0"/>
          <w:sz w:val="19"/>
        </w:rPr>
        <w:t>Siguiendo las pautas de Kitchenham &amp; Charters (2007), se formuló un instrumento de calidad metodológica compuesto por cinco preguntas críticas (QA1 a QA5), evaluadas bajo una escala tricotómica objetiva (1.0 = Sí, 0.5 = Parcial, 0.0 = No) con un umbral mínimo de inclusión de QA &gt;= 3.0 / 5.0 (ver Tabla VII). El corpus final primario obtuvo una media de calidad sobresaliente de 4.61 / 5.0 (mínimo = 3.50, máximo = 5.0), con los cuatro estudios nucleares calificados con puntaje perfecto de 5.0 / 5.0.</w:t>
      </w:r>
    </w:p>
    <w:p>
      <w:pPr>
        <w:keepNext/>
        <w:spacing w:before="140" w:after="20"/>
        <w:jc w:val="center"/>
      </w:pPr>
      <w:r>
        <w:rPr>
          <w:rFonts w:ascii="Times New Roman" w:hAnsi="Times New Roman"/>
          <w:b/>
          <w:sz w:val="16"/>
        </w:rPr>
        <w:t>TABLA VII</w:t>
        <w:br/>
      </w:r>
      <w:r>
        <w:rPr>
          <w:rFonts w:ascii="Times New Roman" w:hAnsi="Times New Roman"/>
          <w:sz w:val="16"/>
        </w:rPr>
        <w:t>PREGUNTAS DEL INSTRUMENTO DE CALIDAD METODOLÓGICA (QA)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Pregunta de Control de Calidad Metodológica</w:t>
            </w:r>
          </w:p>
        </w:tc>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Criterio de Calificación Tricotómica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 estudio define explícitamente los objetivos, el problema documental y la tipología de documentos de negocio?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Objetivos y tipología explícitos; 0.5: Genéricos; 0.0: No definidos.</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describe detalladamente el dataset (volumen, partición train/test, idioma y condiciones de escaneo)?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Dataset y partición explícitos; 0.5: Parcial; 0.0: No describe dataset.</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QA3</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documenta con suficiente claridad la arquitectura neuronal de IA o el pipeline de IDP implementado?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Arquitectura completa y reproducible; 0.5: Superficial; 0.0: Enfoque caja negra.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QA4</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reportan métricas cuantitativas formales de rendimiento (F1-score, exactitud, latencia, throughput)?</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Métricas formales reportadas; 0.5: Métricas parciales; 0.0: Solo cualitativo.</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QA5</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¿Los resultados se contrastan empíricamente frente a baselines, reglas tradicionales o el estado del arte?</w:t>
            </w:r>
          </w:p>
        </w:tc>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1.0: Contraste cuantitativo riguroso; 0.5: Narrativo; 0.0: Sin contraste.</w:t>
            </w:r>
          </w:p>
        </w:tc>
      </w:tr>
    </w:tbl>
    <w:p>
      <w:pPr>
        <w:keepNext/>
        <w:spacing w:before="160" w:after="40"/>
        <w:jc w:val="left"/>
      </w:pPr>
      <w:r>
        <w:rPr>
          <w:rFonts w:ascii="Times New Roman" w:hAnsi="Times New Roman"/>
          <w:b/>
          <w:i/>
          <w:sz w:val="19"/>
        </w:rPr>
        <w:t>I. Matriz de Estudios Excluidos a Texto Completo (PRISMA 2020 Ítem 16b)</w:t>
      </w:r>
    </w:p>
    <w:p>
      <w:pPr>
        <w:spacing w:line="240" w:lineRule="auto" w:before="0" w:after="80"/>
        <w:jc w:val="both"/>
      </w:pPr>
      <w:r>
        <w:rPr>
          <w:rFonts w:ascii="Times New Roman" w:hAnsi="Times New Roman"/>
          <w:i w:val="0"/>
          <w:sz w:val="19"/>
        </w:rPr>
        <w:t>En estricto cumplimiento del ítem 16b de la declaración PRISMA 2020 [2], la Tabla VIII lista individualmente los 20 estudios excluidos durante la lectura a texto completo que a priori cumplían con los criterios de búsqueda pero no satisficieron los requerimientos de elegibilidad primaria, consignando sus autores completos, base de origen, código y justificación técnica sin truncamientos:</w:t>
      </w:r>
    </w:p>
    <w:p>
      <w:pPr>
        <w:keepNext/>
        <w:spacing w:before="140" w:after="20"/>
        <w:jc w:val="center"/>
      </w:pPr>
      <w:r>
        <w:rPr>
          <w:rFonts w:ascii="Times New Roman" w:hAnsi="Times New Roman"/>
          <w:b/>
          <w:sz w:val="16"/>
        </w:rPr>
        <w:t>TABLA VIII</w:t>
        <w:br/>
      </w:r>
      <w:r>
        <w:rPr>
          <w:rFonts w:ascii="Times New Roman" w:hAnsi="Times New Roman"/>
          <w:sz w:val="16"/>
        </w:rPr>
        <w:t>LISTADO DE ESTUDIOS EXCLUIDOS A TEXTO COMPLETO (PRISMA 2020 ÍTEM 16B)</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Referencia Bibliográfica Completa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Base</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Cód.</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Causal Específica de Exclusión</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Villa-García P.A.; Alonso-Calvo R.; García-Díaz V.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Nguyen T.T.; Le H.; Nguyen T.; Vo N.D.; Nguyen V.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Saout T.; Lardeux F.; Saubion F.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Michalak H.; Okarma K.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Zucker A.; Belkada Y.; Vu H.; Nguyen V.N.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Rewoo P.; Jaiswal A.K.; Mahajan D.; Naidu K.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Holeček M.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Vykhodtseva V.A.; Popova G.V.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Varthis E.; Poulos M. (2025)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Francis S.A.; Sangeetha M. (2025)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Li X.-H.; Yin F.; Dai H.-S.; Liu C.-L. (2022)</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Yang F.; Hu L.; Liu X.; Huang S.; Gu Z.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Di Marzo Serugendo G.; Cappelli M.A.; Fabre G.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Srivastava D.; Harit G.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Han S.; Ji S.; Rhee J.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Satirapiwong K.; Siriborvornratanakul T.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Anbukkarasi S.; Varadhaganapathy S.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Shin Y.; Cho Y.; Kang H.W.; Kang J.-G.; Lee C.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Li Z.; Tian W.; Li C.; Li Y.; Shi H.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Courtney J. (2021)</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bl>
    <w:p>
      <w:pPr>
        <w:keepNext/>
        <w:spacing w:before="160" w:after="40"/>
        <w:jc w:val="left"/>
      </w:pPr>
      <w:r>
        <w:rPr>
          <w:rFonts w:ascii="Times New Roman" w:hAnsi="Times New Roman"/>
          <w:b/>
          <w:i/>
          <w:sz w:val="19"/>
        </w:rPr>
        <w:t>J. Caracterización de los 4 Estudios Nucleares Paradigmáticos (100% Revista)</w:t>
      </w:r>
    </w:p>
    <w:p>
      <w:pPr>
        <w:spacing w:line="240" w:lineRule="auto" w:before="0" w:after="80"/>
        <w:jc w:val="both"/>
      </w:pPr>
      <w:r>
        <w:rPr>
          <w:rFonts w:ascii="Times New Roman" w:hAnsi="Times New Roman"/>
          <w:i w:val="0"/>
          <w:sz w:val="19"/>
        </w:rPr>
        <w:t>A partir de la evaluación de calidad metodológica aplicada a los estudios primarios del corpus, en la cual obtuvieron la calificación máxima (QA = 5.0 / 5.0) y la cobertura integral de las cuatro preguntas temáticas (PI1 a PI4), se seleccionaron cuatro estudios nucleares paradigmáticos de alto impacto (Q1/Q2) aplicando un criterio metodológico de muestreo de máxima variación y representatividad estructural (Maximum Variation Sampling). Dicha selección garantiza que cada una de las cuatro familias algorítmicas predominantes (Transformers/VLMs [3], LLMs con ingeniería de prompts [4], Deep Learning con visión computacional [5] y pipelines híbridos con reglas [6]) y cada una de las cuatro tipologías documentales empresariales (gráficos/tablas, comprobantes corporativos, balances financieros y recibos comerciales) estén formalmente representadas como ancla empírica de calibración para la revisión (ver Tabla IX):</w:t>
      </w:r>
    </w:p>
    <w:p>
      <w:pPr>
        <w:keepNext/>
        <w:spacing w:before="140" w:after="20"/>
        <w:jc w:val="center"/>
      </w:pPr>
      <w:r>
        <w:rPr>
          <w:rFonts w:ascii="Times New Roman" w:hAnsi="Times New Roman"/>
          <w:b/>
          <w:sz w:val="16"/>
        </w:rPr>
        <w:t>TABLA IX</w:t>
        <w:br/>
      </w:r>
      <w:r>
        <w:rPr>
          <w:rFonts w:ascii="Times New Roman" w:hAnsi="Times New Roman"/>
          <w:sz w:val="16"/>
        </w:rPr>
        <w:t>CARACTERIZACIÓN DE LOS 4 ESTUDIOS NUCLEARES PARADIGMÁTICOS (100% REVISTA)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ID</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Ref.</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Autores y Año</w:t>
            </w:r>
          </w:p>
        </w:tc>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Revista Indexada y Cuartil</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DOI</w:t>
            </w:r>
          </w:p>
        </w:tc>
        <w:tc>
          <w:tcPr>
            <w:tcW w:type="dxa" w:w="10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Aporte Metodológico Fundamental</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[S001]</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[3]</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Wei et al. (2026/2025)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Pattern Recognition (Elsevier, Q1)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10.1016/j.patcog.2025.112348</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VLM multimodal para QA visual sobre gráficos y tablas complejas, superando baselines de OCR tradicional.</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[S002]</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[4]</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Chen et al. (2025)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Electronics (MDPI, Q2)</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10.3390/electronics14112145</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Evaluación rigurosa de LLMs e ingeniería de prompts en extracción de información documental frente a reglas fijas.</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[S003]</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[5]</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Ali Khandokar &amp; Deshpande (2025)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IEEE Access (IEEE, Q1)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10.1109/access.2024.3522141</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Pipeline de visión computacional y deep learning para extracción de tablas financieras heterogéneas sin plantillas.</w:t>
            </w:r>
          </w:p>
        </w:tc>
      </w:tr>
      <w:tr>
        <w:trPr>
          <w:cantSplit/>
        </w:trPr>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[S004]</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[6]</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Mifsud et al. (2025)</w:t>
            </w:r>
          </w:p>
        </w:tc>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Mach. Learn. Knowl. Extr. (MDPI, Q1)</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10.3390/make7040167</w:t>
            </w:r>
          </w:p>
        </w:tc>
        <w:tc>
          <w:tcPr>
            <w:tcW w:type="dxa" w:w="10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Modelo híbrido que combina y contrasta Transformers multimodales con sistemas basados en reglas en recibos comerciales.</w:t>
            </w:r>
          </w:p>
        </w:tc>
      </w:tr>
    </w:tbl>
    <w:p>
      <w:pPr>
        <w:keepNext/>
        <w:spacing w:before="160" w:after="40"/>
        <w:jc w:val="left"/>
      </w:pPr>
      <w:r>
        <w:rPr>
          <w:rFonts w:ascii="Times New Roman" w:hAnsi="Times New Roman"/>
          <w:b/>
          <w:i/>
          <w:sz w:val="19"/>
        </w:rPr>
        <w:t>K. Muestra de la Matriz de Mapeo frente a PI1–PI4</w:t>
      </w:r>
    </w:p>
    <w:p>
      <w:pPr>
        <w:spacing w:line="240" w:lineRule="auto" w:before="0" w:after="80"/>
        <w:jc w:val="both"/>
      </w:pPr>
      <w:r>
        <w:rPr>
          <w:rFonts w:ascii="Times New Roman" w:hAnsi="Times New Roman"/>
          <w:i w:val="0"/>
          <w:sz w:val="19"/>
        </w:rPr>
        <w:t>El corpus de N = 131 estudios primarios se clasificó mediante una evaluación semántica directa sobre sus variables empíricas: Nucleares (n = 4), Soporte Temático Avanzado (n = 108), Soporte Algorítmico y de Rendimiento (n = 17) y Contextualización (n = 2). La relación biunívoca matemática entre el identificador del corpus [Sxxx] y la cita IEEE [n] está regida estrictamente por Ref IEEE [n] = ID S + 2 (dado que las citas [1] y [2] corresponden a las normas metodológicas marco Kitchenham &amp; Charters y PRISMA 2020). La Tabla X presenta una muestra representativa de 11 estudios a lo largo de los estratos evidenciando esta correspondencia perfecta:</w:t>
      </w:r>
    </w:p>
    <w:p>
      <w:pPr>
        <w:keepNext/>
        <w:spacing w:before="140" w:after="20"/>
        <w:jc w:val="center"/>
      </w:pPr>
      <w:r>
        <w:rPr>
          <w:rFonts w:ascii="Times New Roman" w:hAnsi="Times New Roman"/>
          <w:b/>
          <w:sz w:val="16"/>
        </w:rPr>
        <w:t>TABLA X</w:t>
        <w:br/>
      </w:r>
      <w:r>
        <w:rPr>
          <w:rFonts w:ascii="Times New Roman" w:hAnsi="Times New Roman"/>
          <w:sz w:val="16"/>
        </w:rPr>
        <w:t>MUESTRA REPRESENTATIVA DE LA MATRIZ DE MAPEO FRENTE A PI1–PI4</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rPr>
          <w:cantSplit/>
          <w:tblHeader/>
        </w:trPr>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ID</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Ref.</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Autores (Año)</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PI1</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PI2</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PI3</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PI4</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Total</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Estrato de Evidencia</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[S001]</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Wei, JX et al. (2026)</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[S002]</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Chen L.-C.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[S003]</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[5]</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Ali Khandokar I.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[S004]</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[6]</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Mifsud X.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Yu J.-M.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[S015]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[17]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Abdalla 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[S030]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Jia 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[S050]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[52]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Lee E. et al. (2022)</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[S075]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[77]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Arshad A.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(3/4)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[S100]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[102]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Yeung O.M. et al. (2023)</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(3/4)</w:t>
            </w:r>
          </w:p>
        </w:tc>
      </w:tr>
      <w:tr>
        <w:trPr>
          <w:cantSplit/>
        </w:trPr>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[S125]</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[127]</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Azman N.A. et al. (2021)</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2/4</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Soporte (2/4)</w:t>
            </w:r>
          </w:p>
        </w:tc>
      </w:tr>
    </w:tbl>
    <w:p>
      <w:pPr>
        <w:keepNext/>
        <w:spacing w:before="160" w:after="40"/>
        <w:jc w:val="left"/>
      </w:pPr>
      <w:r>
        <w:rPr>
          <w:rFonts w:ascii="Times New Roman" w:hAnsi="Times New Roman"/>
          <w:b/>
          <w:i/>
          <w:sz w:val="19"/>
        </w:rPr>
        <w:t>L. Vinculación con Resultados y Estrategia de Síntesis</w:t>
      </w:r>
    </w:p>
    <w:p>
      <w:pPr>
        <w:spacing w:line="240" w:lineRule="auto" w:before="0" w:after="80"/>
        <w:jc w:val="both"/>
      </w:pPr>
      <w:r>
        <w:rPr>
          <w:rFonts w:ascii="Times New Roman" w:hAnsi="Times New Roman"/>
          <w:b/>
          <w:sz w:val="19"/>
        </w:rPr>
        <w:t xml:space="preserve">Estrategia de Síntesis y Justificación de la Inviabilidad de Metaanálisis Cuantitativo: </w:t>
      </w:r>
      <w:r>
        <w:rPr>
          <w:rFonts w:ascii="Times New Roman" w:hAnsi="Times New Roman"/>
          <w:i w:val="0"/>
          <w:sz w:val="19"/>
        </w:rPr>
        <w:t>Siguiendo las directrices metodológicas de Kitchenham &amp; Charters (2007) [1] y PRISMA 2020 [2], los hallazgos de los 131 estudios primarios [3]–[133] se estructuran y consolidan mediante métodos rigurosos y formalizados según la naturaleza de cada interrogante: Síntesis Temática (Thomas &amp; Harden [134]; Cruzes &amp; Dybå [135]) para la taxonomía algorítmica y tipologías documentales (PI1, PI4); Síntesis Narrativa Estructurada (Popay et al. [136]) con reporte de rangos empíricos [mín, máx] y dispersión por benchmark para el rendimiento técnico (PI2); Síntesis sin metaanálisis (SWiM, Campbell et al. [137]) con conteo de votos de dirección del efecto y barras divergentes para la comparativa de eficiencia frente a métodos tradicionales (PI3); Mapeo Sistemático con gráficos de burbujas (Petersen et al. [138]) para el cruce de diseños y datasets (PD3); análisis cienciométrico con mapas de coocurrencia de palabras clave en VOSviewer (van Eck &amp; Waltman [139]) para redes de investigación (PD2); y calificación formal de la certeza de la evidencia mediante el marco GRADE-CERQual (Lewin et al. [140]). Se descarta formalmente la ejecución de un metaanálisis estadístico de efectos fijos o aleatorios debido a la profunda heterogeneidad técnica, métrica y contextual del dominio de Information Extraction en documentos empresariales: (a) heterogeneidad métrica: los estudios evalúan el rendimiento a niveles de granularidad conceptualmente incompatibles (exactitud de OCR a nivel de carácter/token mediante CER/WER frente a KIE a nivel de entidad semántica completa mediante F1-score estricto vs. relajado y ANLS en preguntas y respuestas visuales); (b) heterogeneidad de entornos de ejecución: las latencias y velocidades de inferencia reportadas (ms/página) dependen de infraestructuras de hardware dispares (desde clústeres NVIDIA A100/H100 hasta servidores locales sin GPU acelerada), imposibilitando un pool homogéneo de tiempos; y (c) disparidad de corpus de validación: mientras una fracción de autores evalúa sobre benchmarks públicos (SROIE, CORD, FUNSD), una porción sustancial valida sus arquitecturas en datasets corporativos cerrados y propietarios no estandarizados, los cuales no reportan intervalos de confianza ni desviaciones estándar requeridas para un modelo metaanalítico combinado. En consecuencia, la síntesis estructurada por preguntas de investigación constituye el enfoque epistemológicamente riguroso y apropiado.</w:t>
      </w:r>
    </w:p>
    <w:p>
      <w:pPr>
        <w:spacing w:line="240" w:lineRule="auto" w:before="0" w:after="80"/>
        <w:jc w:val="both"/>
      </w:pPr>
      <w:r>
        <w:rPr>
          <w:rFonts w:ascii="Times New Roman" w:hAnsi="Times New Roman"/>
          <w:i w:val="0"/>
          <w:sz w:val="19"/>
        </w:rPr>
        <w:t>Para garantizar la trazabilidad biunívoca entre la formulación metodológica y la evidencia empírica, cada una de las siete preguntas de investigación (PD1–PD3 y PI1–PI4) se mapea directamente con una tabla y un gráfico cuantitativo asignado en la sección de Resultados (ver Tabla XI):</w:t>
      </w:r>
    </w:p>
    <w:p>
      <w:pPr>
        <w:keepNext/>
        <w:spacing w:before="140" w:after="20"/>
        <w:jc w:val="center"/>
      </w:pPr>
      <w:r>
        <w:rPr>
          <w:rFonts w:ascii="Times New Roman" w:hAnsi="Times New Roman"/>
          <w:b/>
          <w:sz w:val="16"/>
        </w:rPr>
        <w:t>TABLA XI</w:t>
        <w:br/>
      </w:r>
      <w:r>
        <w:rPr>
          <w:rFonts w:ascii="Times New Roman" w:hAnsi="Times New Roman"/>
          <w:sz w:val="16"/>
        </w:rPr>
        <w:t>MATRIZ DE ENLACE BIUNÍVOCO ENTRE PREGUNTAS Y RESULTADOS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Pregunta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Contenido Temático a Responder</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Tabla de Evidencia Asignada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Gráfico Asignado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Evolución temporal de publicaciones sobre IA/IDP en documentos empresariales.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Distribución anual de artículos (2020–2025).</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líneas de tendencia temporal.</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PD2</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Productividad académica por autores, revistas indexadas y países líderes.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Ranking de las 10 revistas líderes, autores prolíficos y países.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barras geográfico y red de coocurrencia de palabras clave en VOSviewer.</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Distribución de diseños metodológicos y datasets (públicos vs. privados).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Tabla cruzada: diseño metodológico × tipo de dataset.</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burbujas (mapeo sistemático de Petersen et al. [138]).</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Taxonomía de enfoques algorítmicos (secuencias, grafos, transformers multimodales).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Matriz de arquitecturas de IA identificadas.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barras por familia algorítmica (síntesis temática [134], [135]).</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PI2</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Rendimiento cuantitativo reportado (F1-score, exactitud, latencia de inferencia).</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Tabla comparativa de métricas por benchmark (SROIE, FUNSD, CORD).</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Síntesis narrativa estructurada (Popay et al. [136]) con rangos [mín, máx] y dispersión.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Comparativa de eficiencia y costo: IA/IDP frente a ingreso manual y reglas.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Conteo de votos de dirección del efecto (mejora, sin diferencia, empeora).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Método SWiM (Campbell et al. [137]) con gráfico de barras divergentes.</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PI4</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Tipologías documentales (facturas, recibos) y sistemas ERP/CRM integrados.</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Frecuencia por tipo de documento × plataforma.</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Matriz de calor (heatmap) documental.</w:t>
            </w:r>
          </w:p>
        </w:tc>
      </w:tr>
    </w:tbl>
    <w:p>
      <w:pPr>
        <w:keepNext/>
        <w:spacing w:before="160" w:after="40"/>
        <w:jc w:val="left"/>
      </w:pPr>
      <w:r>
        <w:rPr>
          <w:rFonts w:ascii="Times New Roman" w:hAnsi="Times New Roman"/>
          <w:b/>
          <w:i/>
          <w:sz w:val="19"/>
        </w:rPr>
        <w:t>M. Amenazas a la Validez y Mitigación</w:t>
      </w:r>
    </w:p>
    <w:p>
      <w:pPr>
        <w:spacing w:line="240" w:lineRule="auto" w:before="0" w:after="80"/>
        <w:jc w:val="both"/>
      </w:pPr>
      <w:r>
        <w:rPr>
          <w:rFonts w:ascii="Times New Roman" w:hAnsi="Times New Roman"/>
          <w:i w:val="0"/>
          <w:sz w:val="19"/>
        </w:rPr>
        <w:t>Para salvaguardar la solidez del estudio, se analizaron cuatro amenazas potenciales a la validez, implementando acciones preventivas en cada fase del protocolo (ver Tabla XII):</w:t>
      </w:r>
    </w:p>
    <w:p>
      <w:pPr>
        <w:keepNext/>
        <w:spacing w:before="140" w:after="20"/>
        <w:jc w:val="center"/>
      </w:pPr>
      <w:r>
        <w:rPr>
          <w:rFonts w:ascii="Times New Roman" w:hAnsi="Times New Roman"/>
          <w:b/>
          <w:sz w:val="16"/>
        </w:rPr>
        <w:t>TABLA XII</w:t>
        <w:br/>
      </w:r>
      <w:r>
        <w:rPr>
          <w:rFonts w:ascii="Times New Roman" w:hAnsi="Times New Roman"/>
          <w:sz w:val="16"/>
        </w:rPr>
        <w:t>AMENAZAS A LA VALIDEZ Y ACCIONES DE MITIGACIÓN</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Dimensión</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Riesgo de Sesgo Identificado</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Estrategia de Mitigación Implementada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 Selección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Omisión de literatura relevante o sesgo por formato de publicación.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Búsqueda simétrica en Scopus y Web of Science. Restricción estricta a artículos de revista científica arbitrados (Journal Articles) conforme a las directrices de investigación institucional para garantizar rigor y madurez metodológica. Se declara explícitamente como una limitación mayor el sesgo de selección derivado de la exclusión de actas de congresos (Conference Proceedings) y preprints, dado que arquitecturas fundacionales de IDP (p. ej., LayoutLM, DocFormer, StrucTexT, BROS) se originaron en dichos foros; no obstante, el corpus primario (N = 131) captura sistemáticamente su adopción, optimización empírica e integración en flujos corporativos reportada en revistas consolidadas.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 Publicación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Predominancia de literatura que reporta solo resultados favorables.</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 sistemática de artículos con reportes de fallas y limitaciones en escaneos degradados, formatos no estandarizados y altos costos de cómputo.</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del Evaluador</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Subjetividad individual durante el cribado y control QA por autor único.</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Protocolo de fiabilidad intra-evaluador test-retest ciego (n = 27 por fase: κ = 0.81 en cribado, κ = 0.87 en elegibilidad, κ = 0.89 en PI1) y arbitraje con docente asesor; reconociendo como limitación metodológica la ausencia de doble cribado independiente paralelo.</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Validez de Constructo</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Desalineación entre términos de búsqueda y conceptos reales.</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Derivación rigurosa desde la matriz PICOC e incorporación de sinónimos técnicos exhaustivos (KIE, VRD, LayoutLM, IDP).</w:t>
            </w:r>
          </w:p>
        </w:tc>
      </w:tr>
    </w:tbl>
    <w:p>
      <w:pPr>
        <w:keepNext/>
        <w:spacing w:before="220" w:after="80"/>
        <w:jc w:val="center"/>
      </w:pPr>
      <w:r>
        <w:rPr>
          <w:rFonts w:ascii="Times New Roman" w:hAnsi="Times New Roman"/>
          <w:b/>
          <w:sz w:val="20"/>
        </w:rPr>
        <w:t>III. RESULTADOS</w:t>
      </w:r>
    </w:p>
    <w:p>
      <w:pPr>
        <w:keepNext/>
        <w:spacing w:before="160" w:after="40"/>
        <w:jc w:val="left"/>
      </w:pPr>
      <w:r>
        <w:rPr>
          <w:rFonts w:ascii="Times New Roman" w:hAnsi="Times New Roman"/>
          <w:b/>
          <w:i/>
          <w:sz w:val="19"/>
        </w:rPr>
        <w:t>A. Apertura General del Corpus y Protocolo de Síntesis</w:t>
      </w:r>
    </w:p>
    <w:p>
      <w:pPr>
        <w:spacing w:line="240" w:lineRule="auto" w:before="0" w:after="80"/>
        <w:jc w:val="both"/>
      </w:pPr>
      <w:r>
        <w:rPr>
          <w:rFonts w:ascii="Times New Roman" w:hAnsi="Times New Roman"/>
          <w:i w:val="0"/>
          <w:sz w:val="19"/>
        </w:rPr>
        <w:t>La presente sección describe y cuantifica de forma objetiva la evidencia empírica extraída del corpus de literatura científica incluido, en estricto apego a las directrices de reporte de Kitchenham &amp; Charters (2007) [1], los estándares internacionales de la declaración PRISMA 2020 [2] y las directrices metodológicas de la guía docente institucional. La totalidad de los hallazgos se reporta en tercera persona impersonal y con verbos de reporte neutros, articulando directamente la evidencia cuantitativa con la discusión analítica de cada eje temático.</w:t>
      </w:r>
    </w:p>
    <w:p>
      <w:pPr>
        <w:spacing w:line="240" w:lineRule="auto" w:before="0" w:after="80"/>
        <w:jc w:val="both"/>
      </w:pPr>
      <w:r>
        <w:rPr>
          <w:rFonts w:ascii="Times New Roman" w:hAnsi="Times New Roman"/>
          <w:i w:val="0"/>
          <w:sz w:val="19"/>
        </w:rPr>
        <w:t>El corpus documental primario quedó formalmente cerrado y congelado en un total de N = 131 artículos de revista científica indexada (100 % Journal Articles, sin actas de congreso, preprints, tesis ni literatura gris), habiendo superado el control de calidad metodológica (QA &gt;= 3.50 / 5.00; media global = 4.61 / 5.00). Este volumen supera con holgura el umbral de suficiencia documental exigido para tecnologías con ventana temporal menor a 10 años (n &gt;= 35 estudios). La numeración de citas bibliográficas mantiene una relación matemática biunívoca unívoca: Ref IEEE [n] = ID S + 2, donde las citas [1] y [2] corresponden a las normas metodológicas marco (Kitchenham &amp; Charters y PRISMA 2020), los 131 estudios primarios del corpus se indexan de manera inalterable entre [3] y [133] (desde [S001] hasta [S131]), y las referencias metodológicas complementarias de síntesis documental y cienciometría se ubican en [134] a [140].</w:t>
      </w:r>
    </w:p>
    <w:p>
      <w:pPr>
        <w:spacing w:line="240" w:lineRule="auto" w:before="0" w:after="80"/>
        <w:jc w:val="both"/>
      </w:pPr>
      <w:r>
        <w:rPr>
          <w:rFonts w:ascii="Times New Roman" w:hAnsi="Times New Roman"/>
          <w:i w:val="0"/>
          <w:sz w:val="19"/>
        </w:rPr>
        <w:t>Conforme a los ítems 13a–13f de PRISMA 2020 y para mitigar el sesgo de conveniencia (reporting bias), la selección de la estrategia analítica para cada interrogante se formalizó antes de la consolidación de los datos: 1) Síntesis Temática (Thomas &amp; Harden [134]; Cruzes &amp; Dybå [135]) para la taxonomía algorítmica de arquitecturas IA/IDP (PI1) y el mapeo de tipologías documentales y sistemas ERP/CRM (PI4); 2) Síntesis Narrativa Estructurada (Popay et al. [136]) para el análisis de rendimiento técnico (PI2), organizando las métricas cuantitativas (F1-score, exactitud, latencia) por benchmarks estándar (SROIE, FUNSD, CORD) y reportando rangos empíricos [mín, máx] sin promediar métricas entre datasets incompatibles; 3) Síntesis sin metaanálisis — SWiM (Campbell et al. [137]) para contrastar las soluciones IA/IDP frente a líneas base tradicionales y manuales (PI3), utilizando el conteo de votos de dirección del efecto (Mejora, Sin diferencia, Empeora) y barras divergentes; 4) Mapeo Sistemático Matricial (Petersen et al. [138]) para caracterizar la evolución temporal (PD1) y el cruce bidimensional entre diseños metodológicos y tipologías de dataset (PD3) mediante gráficos de burbujas; 5) Mapeo Cienciométrico y Análisis de Redes (van Eck &amp; Waltman [139]) en PD2 para identificar núcleos de producción científica (revistas, países, autores) y la estructura de coocurrencia de palabras clave de autor en VOSviewer con umbral de &gt;= 3 apariciones; y 6) Calificación de Certeza de la Evidencia (Lewin et al. [140]) mediante el marco GRADE-CERQual sobre 4 pilares para ponderar cada hallazgo principal.</w:t>
      </w:r>
    </w:p>
    <w:p>
      <w:pPr>
        <w:keepNext/>
        <w:spacing w:before="160" w:after="40"/>
        <w:jc w:val="left"/>
      </w:pPr>
      <w:r>
        <w:rPr>
          <w:rFonts w:ascii="Times New Roman" w:hAnsi="Times New Roman"/>
          <w:b/>
          <w:i/>
          <w:sz w:val="19"/>
        </w:rPr>
        <w:t>B. Evolución Temporal de la Producción Científica (PD1)</w:t>
      </w:r>
    </w:p>
    <w:p>
      <w:pPr>
        <w:spacing w:line="240" w:lineRule="auto" w:before="0" w:after="80"/>
        <w:jc w:val="both"/>
      </w:pPr>
      <w:r>
        <w:rPr>
          <w:rFonts w:ascii="Times New Roman" w:hAnsi="Times New Roman"/>
          <w:i w:val="0"/>
          <w:sz w:val="19"/>
        </w:rPr>
        <w:t>Para determinar el comportamiento cronológico de la literatura sobre IA/IDP aplicada al procesamiento de documentos de negocio entre 2020 y 2025/2026, se contabilizó la distribución de los 131 artículos primarios por año de publicación formal indexada, cuyos datos cuantitativos se detallan en la TABLA XIII y se visualizan gráficamente en la Fig. 2.</w:t>
      </w:r>
    </w:p>
    <w:p>
      <w:pPr>
        <w:keepNext/>
        <w:spacing w:before="140" w:after="20"/>
        <w:jc w:val="center"/>
      </w:pPr>
      <w:r>
        <w:rPr>
          <w:rFonts w:ascii="Times New Roman" w:hAnsi="Times New Roman"/>
          <w:b/>
          <w:sz w:val="16"/>
        </w:rPr>
        <w:t>TABLA XIII</w:t>
        <w:br/>
      </w:r>
      <w:r>
        <w:rPr>
          <w:rFonts w:ascii="Times New Roman" w:hAnsi="Times New Roman"/>
          <w:sz w:val="16"/>
        </w:rPr>
        <w:t>DISTRIBUCIÓN CRONOLÓGICA DE LA PRODUCCIÓN CIENTÍFICA (2020–2025/2026)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Año de Publicación</w:t>
            </w:r>
          </w:p>
        </w:tc>
        <w:tc>
          <w:tcPr>
            <w:tcW w:type="dxa" w:w="40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Estudios Primarios Indexados [n]</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Absoluta (n)</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Relativa (%)</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Porcentaje Acumulado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2020</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[64], [111], [130], [131]</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2021</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[58]–[63], [112]–[114], [123], [126]–[129]</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10.7 %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2022</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[50]–[55], [57], [103]–[109], [125], [132], [133]</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17</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13.0 %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26.8 %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2023</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[39]–[49], [67], [90]–[92], [94]–[102], [121], [124]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26</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19.8 %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46.6 %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2024</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[28]–[31], [33]–[38], [84], [86]–[89], [120]</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16</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12.2 %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58.8 %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2025</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[4]–[27], [32], [56], [68]–[83], [85], [93], [110], [115]–[119], [122]</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51</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38.9 %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97.7 %</w:t>
            </w:r>
          </w:p>
        </w:tc>
      </w:tr>
      <w:tr>
        <w:trPr>
          <w:cantSplit/>
        </w:trPr>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2026*</w:t>
            </w:r>
          </w:p>
        </w:tc>
        <w:tc>
          <w:tcPr>
            <w:tcW w:type="dxa" w:w="40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 [65], [66]</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3</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2.3 %</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 Nota: Los tres estudios fechados con volumen 2026 ([3], [65], [66]) fueron publicados oficialmente en línea en modalidad Early Access durante el segundo semestre de 2025 (ver justificación metodológica bajo el criterio IN1 en la Sección II.D). 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635361"/>
            <wp:docPr id="2" name="Picture 2"/>
            <wp:cNvGraphicFramePr>
              <a:graphicFrameLocks noChangeAspect="1"/>
            </wp:cNvGraphicFramePr>
            <a:graphic>
              <a:graphicData uri="http://schemas.openxmlformats.org/drawingml/2006/picture">
                <pic:pic>
                  <pic:nvPicPr>
                    <pic:cNvPr id="0" name="fig2_evolucion_anual.png"/>
                    <pic:cNvPicPr/>
                  </pic:nvPicPr>
                  <pic:blipFill>
                    <a:blip r:embed="rId10"/>
                    <a:stretch>
                      <a:fillRect/>
                    </a:stretch>
                  </pic:blipFill>
                  <pic:spPr>
                    <a:xfrm>
                      <a:off x="0" y="0"/>
                      <a:ext cx="3063240" cy="1635361"/>
                    </a:xfrm>
                    <a:prstGeom prst="rect"/>
                  </pic:spPr>
                </pic:pic>
              </a:graphicData>
            </a:graphic>
          </wp:inline>
        </w:drawing>
      </w:r>
    </w:p>
    <w:p>
      <w:pPr>
        <w:spacing w:before="40" w:after="120"/>
        <w:jc w:val="both"/>
      </w:pPr>
      <w:r>
        <w:rPr>
          <w:rFonts w:ascii="Times New Roman" w:hAnsi="Times New Roman"/>
          <w:b/>
          <w:sz w:val="17"/>
        </w:rPr>
        <w:t xml:space="preserve">Fig. 2. </w:t>
      </w:r>
      <w:r>
        <w:rPr>
          <w:rFonts w:ascii="Times New Roman" w:hAnsi="Times New Roman"/>
          <w:sz w:val="17"/>
        </w:rPr>
        <w:t xml:space="preserve">Evolución temporal de publicaciones sobre IA/IDP en documentos empresariales (2020–2025/2026, N = 131). </w:t>
      </w:r>
      <w:r>
        <w:rPr>
          <w:rFonts w:ascii="Times New Roman" w:hAnsi="Times New Roman"/>
          <w:sz w:val="16"/>
        </w:rPr>
        <w:t xml:space="preserve">Barras: volumen anual absoluto (n); línea roja: porcentaje acumulado (%).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PD1): </w:t>
      </w:r>
      <w:r>
        <w:rPr>
          <w:rFonts w:ascii="Times New Roman" w:hAnsi="Times New Roman"/>
          <w:i w:val="0"/>
          <w:sz w:val="19"/>
        </w:rPr>
        <w:t>Ciento treinta y un estudios (100.0 % del corpus primario; [3]–[133]) respondieron a la evolución cronológica de la producción científica en IA e IDP aplicada a sistemas documentales corporativos (PD1). Mediante mapeo sistemático cronológico se identificó una trayectoria de crecimiento marcadamente expansiva y no lineal a lo largo del sexenio 2020–2025/2026, con una concentración máxima de publicaciones en el bienio final (TABLA XIII, Fig. 2).</w:t>
      </w:r>
    </w:p>
    <w:p>
      <w:pPr>
        <w:spacing w:line="240" w:lineRule="auto" w:before="0" w:after="80"/>
        <w:jc w:val="both"/>
      </w:pPr>
      <w:r>
        <w:rPr>
          <w:rFonts w:ascii="Times New Roman" w:hAnsi="Times New Roman"/>
          <w:b/>
          <w:sz w:val="19"/>
        </w:rPr>
        <w:t xml:space="preserve">2) Desarrollo por Categoría y Fases Temporales: </w:t>
      </w:r>
      <w:r>
        <w:rPr>
          <w:rFonts w:ascii="Times New Roman" w:hAnsi="Times New Roman"/>
          <w:i w:val="0"/>
          <w:sz w:val="19"/>
        </w:rPr>
        <w:t>La dinámica temporal de publicación se articula en tres periodos analíticos diferenciados:</w:t>
      </w:r>
    </w:p>
    <w:p>
      <w:pPr>
        <w:spacing w:line="240" w:lineRule="auto" w:before="0" w:after="80"/>
        <w:ind w:left="283"/>
        <w:jc w:val="both"/>
      </w:pPr>
      <w:r>
        <w:rPr>
          <w:rFonts w:ascii="Times New Roman" w:hAnsi="Times New Roman"/>
          <w:b/>
          <w:sz w:val="19"/>
        </w:rPr>
        <w:t xml:space="preserve">a) Fase de emergencia y cimientos basados en OCR-CNN (2020–2021): </w:t>
      </w:r>
      <w:r>
        <w:rPr>
          <w:rFonts w:ascii="Times New Roman" w:hAnsi="Times New Roman"/>
          <w:i w:val="0"/>
          <w:sz w:val="19"/>
        </w:rPr>
        <w:t>Reúne 18 estudios (13.7 % del corpus; [58]–[64], [111]–[114], [123], [126]–[131]), donde predominaron propuestas orientadas a mejorar la binarización de escaneos, OCR neuronal con LSTM y segmentación clásica con Mask R-CNN, registrando tasas de publicación moderadas (4 estudios en 2020 y 14 en 2021). El 88.9 % de los estudios de esta fase reportó calidad alta, aunque con certeza CERQual moderada.</w:t>
      </w:r>
    </w:p>
    <w:p>
      <w:pPr>
        <w:spacing w:line="240" w:lineRule="auto" w:before="0" w:after="80"/>
        <w:ind w:left="283"/>
        <w:jc w:val="both"/>
      </w:pPr>
      <w:r>
        <w:rPr>
          <w:rFonts w:ascii="Times New Roman" w:hAnsi="Times New Roman"/>
          <w:b/>
          <w:sz w:val="19"/>
        </w:rPr>
        <w:t xml:space="preserve">b) Fase de consolidación de Transformers Multimodales (2022–2023): </w:t>
      </w:r>
      <w:r>
        <w:rPr>
          <w:rFonts w:ascii="Times New Roman" w:hAnsi="Times New Roman"/>
          <w:i w:val="0"/>
          <w:sz w:val="19"/>
        </w:rPr>
        <w:t>Concentra 43 estudios (32.8 % del corpus; [39]–[55], [57], [67], [90]–[92], [94]–[109], [121], [124], [125], [132], [133]), representando el primer punto de inflexión significativo al pasar de 17 artículos en 2022 a 26 en 2023 (19.8 % anual), impulsada por la adopción de modelos multimodales preentrenados (LayoutLMv2/v3, StrucTexT, BROS) y redes de grafos (GCN) para extracción de entidades clave (KIE).</w:t>
      </w:r>
    </w:p>
    <w:p>
      <w:pPr>
        <w:spacing w:line="240" w:lineRule="auto" w:before="0" w:after="80"/>
        <w:ind w:left="283"/>
        <w:jc w:val="both"/>
      </w:pPr>
      <w:r>
        <w:rPr>
          <w:rFonts w:ascii="Times New Roman" w:hAnsi="Times New Roman"/>
          <w:b/>
          <w:sz w:val="19"/>
        </w:rPr>
        <w:t xml:space="preserve">c) Fase de aceleración exponencial con VLMs y Modelos Generativos (2025–2026*): </w:t>
      </w:r>
      <w:r>
        <w:rPr>
          <w:rFonts w:ascii="Times New Roman" w:hAnsi="Times New Roman"/>
          <w:i w:val="0"/>
          <w:sz w:val="19"/>
        </w:rPr>
        <w:t>Agrupa 54 estudios (41.2 % del corpus; [3]–[27], [32], [56], [65], [66], [68]–[83], [85], [93], [110], [115]–[119], [122]), constituyendo la etapa más prolífica con 51 publicaciones en 2025 (38.9 %) y 3 en Early Access para 2026 (2.3 %; [3], [65], [66]), gracias al despliegue masivo de Vision-Language Models y LLMs adaptados con prompt engineering.</w:t>
      </w:r>
    </w:p>
    <w:p>
      <w:pPr>
        <w:spacing w:line="240" w:lineRule="auto" w:before="0" w:after="80"/>
        <w:jc w:val="both"/>
      </w:pPr>
      <w:r>
        <w:rPr>
          <w:rFonts w:ascii="Times New Roman" w:hAnsi="Times New Roman"/>
          <w:b/>
          <w:sz w:val="19"/>
        </w:rPr>
        <w:t xml:space="preserve">3) Contrastes y Debates Temporales: </w:t>
      </w:r>
      <w:r>
        <w:rPr>
          <w:rFonts w:ascii="Times New Roman" w:hAnsi="Times New Roman"/>
          <w:i w:val="0"/>
          <w:sz w:val="19"/>
        </w:rPr>
        <w:t>A pesar de la tendencia global alcista, la literatura experimentó una desaceleración temporal transitoria durante 2024, con 16 estudios reportados (12.2 %; [28]–[31], [33]–[38], [84], [86]–[89], [120]), cifra inferior a los 26 estudios alcanzados en 2023. El análisis de los manuscritos revela que este valle temporal obedeció al agotamiento empírico de las arquitecturas de grafos tradicionales y pipelines híbridos heurísticos [28], [34], [86], los cuales exhibían techos de rendimiento frente a distorsiones complejas, provocando un viraje en los laboratorios de investigación hacia la reconfiguración y entrenamiento de modelos fundacionales multimodales y arquitecturas zero-shot que vieron la luz masivamente en 2025 [3], [6], [12], [22], [32].</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literatura sobre IA/IDP en sistemas corporativos evidencia una trayectoria de maduración irreversible, transitando desde la simple corrección óptica de caracteres hacia sistemas integrales de comprensión de documentos ricos visualmente (Visually-Rich Documents). No se identificaron estudios longitudinales que evalúen la degradación de los modelos a lo largo de más de dos años operativos en empresas. Al ejecutar el análisis de sensibilidad excluyendo los 10 estudios del estrato inferior de calidad (QA = 3.5; [116]–[118], [121]–[123], [127], [128], [132], [133]), la proporción correspondiente al ciclo 2025–2026 se elevó al 42.1 % (51 de 121 estudios), ratificando la robustez de la tendencia expansiva.</w:t>
      </w:r>
    </w:p>
    <w:p>
      <w:pPr>
        <w:keepNext/>
        <w:spacing w:before="160" w:after="40"/>
        <w:jc w:val="left"/>
      </w:pPr>
      <w:r>
        <w:rPr>
          <w:rFonts w:ascii="Times New Roman" w:hAnsi="Times New Roman"/>
          <w:b/>
          <w:i/>
          <w:sz w:val="19"/>
        </w:rPr>
        <w:t>C. Productividad por Revistas, Autores, Países y Red de Coocurrencia (PD2)</w:t>
      </w:r>
    </w:p>
    <w:p>
      <w:pPr>
        <w:spacing w:line="240" w:lineRule="auto" w:before="0" w:after="80"/>
        <w:jc w:val="both"/>
      </w:pPr>
      <w:r>
        <w:rPr>
          <w:rFonts w:ascii="Times New Roman" w:hAnsi="Times New Roman"/>
          <w:i w:val="0"/>
          <w:sz w:val="19"/>
        </w:rPr>
        <w:t>Para responder a PD2, se normalizaron los títulos de las revistas indexadas, se contabilizó la productividad de los autores, se aplicó la regla estricta de afiliación geográfica institucional del autor principal (primer autor) y se estructuró la red de coocurrencia de palabras clave de autor (Author Keywords) con un umbral de frecuencia &gt;= 3 en VOSviewer [139]. La evidencia bibliométrica se compendia en la TABLA XIV, la TABLA XV y la Fig. 3.</w:t>
      </w:r>
    </w:p>
    <w:p>
      <w:pPr>
        <w:keepNext/>
        <w:spacing w:before="140" w:after="20"/>
        <w:jc w:val="center"/>
      </w:pPr>
      <w:r>
        <w:rPr>
          <w:rFonts w:ascii="Times New Roman" w:hAnsi="Times New Roman"/>
          <w:b/>
          <w:sz w:val="16"/>
        </w:rPr>
        <w:t>TABLA XIV</w:t>
        <w:br/>
      </w:r>
      <w:r>
        <w:rPr>
          <w:rFonts w:ascii="Times New Roman" w:hAnsi="Times New Roman"/>
          <w:sz w:val="16"/>
        </w:rPr>
        <w:t>REVISTAS CIENTÍFICAS LÍDERES EN PROCESAMIENTO INTELIGENTE DE DOCUMENTOS EMPRESARIALES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360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Revista Científica Indexada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Editorial</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Cuartil</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Artículos en Corpus [n]</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Relativa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IEEE Access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IEEE</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 / 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[8], [16], [26], [59]–[61], [84], [88], [94], [103], [108], [131]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 (9.9 %)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International Journal on Document Analysis and Recognition (IJDAR)</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Springer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[9], [33], [35], [39], [50], [65], [66], [77], [115]</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 (6.9 %)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Pattern Recognition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 [41], [80], [92], [105], [120]</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 (4.6 %)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Multimedia Tools and Applications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Springer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[15], [21], [52], [55], [57]</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 (3.8 %)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Expert Systems with Applications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[11], [36], [67], [83]</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Engineering Applications of Artificial Intelligence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[24], [101], [114], [119]</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Applied Sciences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MDPI</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[79], [85], [97], [123]</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Electronics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MDPI</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[7], [42]</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International Journal of Pattern Recognition and Artificial Intelligence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World Scientific</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Q3</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[47], [89], [121]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Neurocomputing</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[23], [38], [51]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Computers, Materials and Continua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Tech Science Press</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[22], [62], [109]</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Proceedings of the VLDB Endowment (PVLDB)</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VLDB Endowment</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[58], [112], [130]</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Otras 62 revistas indexadas (&lt;= 2 estudios c/u)</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Diversas</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Q1–Q3</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Citas dispersas [10], [12], [13], [17]–[20], etc.</w:t>
            </w:r>
          </w:p>
        </w:tc>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71 (54.2 %)</w:t>
            </w:r>
          </w:p>
        </w:tc>
      </w:tr>
    </w:tbl>
    <w:p>
      <w:pPr>
        <w:spacing w:before="40" w:after="120"/>
        <w:jc w:val="left"/>
      </w:pPr>
      <w:r>
        <w:rPr>
          <w:rFonts w:ascii="Times New Roman" w:hAnsi="Times New Roman"/>
          <w:i/>
          <w:sz w:val="16"/>
        </w:rPr>
        <w:t>Fuente: elaboración propia a partir del corpus primario [3]–[133]. Nombres de revistas unificados y normalizados de Scopus y Web of Science.</w:t>
      </w:r>
    </w:p>
    <w:p>
      <w:pPr>
        <w:keepNext/>
        <w:spacing w:before="140" w:after="20"/>
        <w:jc w:val="center"/>
      </w:pPr>
      <w:r>
        <w:rPr>
          <w:rFonts w:ascii="Times New Roman" w:hAnsi="Times New Roman"/>
          <w:b/>
          <w:sz w:val="16"/>
        </w:rPr>
        <w:t>TABLA XV</w:t>
        <w:br/>
      </w:r>
      <w:r>
        <w:rPr>
          <w:rFonts w:ascii="Times New Roman" w:hAnsi="Times New Roman"/>
          <w:sz w:val="16"/>
        </w:rPr>
        <w:t>CONCENTRACIÓN GEOGRÁFICA POR AFILIACIÓN DEL PRIMER AUTOR Y AUTORES DESTACADOS (N = 131)</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País de Afiliación (Primer Autor)</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Autores Más Prolíficos en el Corpus (&gt;= 3 publicaciones)</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29.8 %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Zhang J. (4; [43], [81], [82], [120]), Zhang Y. (4; [78], [79], [81], [82]), Li C. (3; [9], [15], [32]), Liu J. (3; [19], [34], [74]), Zhang W. (3; [26], [37], [73]), Ma J. (3; [37], [43], [120]), Zhang Z. (3; [43], [83], [120]).</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India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8.4 %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Tiwari D. (2; [10], [31]), Gupta A. (2; [10], [31]), Baviskar D. (2; [60], [129]), Ahirrao S. (2; [60], [129]), Kotecha K. (2; [60], [129]).</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Estados Unidos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7.6 %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Wang P. (3; [47], [89], [121]), Lai P. (2; [89], [121]), Kim S. (2; [89], [121]), Burdick D. (1; [130]).</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Alemania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6.9 %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Hashmi K.A. (3; [59], [61], [123]), Liwicki M. (3; [59], [61], [123]), Stricker D. (3; [59], [61], [123]), Afzal M.Z. (2; [59], [61]).</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Corea del Sur</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4.6 %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Lee S. (3; [42], [71], [121]), Lee E. (2; [52], [71]), Cho N.I. (2; [52], [71]).</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Canadá</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Simsek M. (4; [11], [35], [48], [51]), Kantarci B. (4; [11], [35], [48], [51]), Xiao B. (3; [11], [35], [48]), Alkheir A.A. (3; [11], [35], [48]).</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Vietnam</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Tran A.C. (2; [75], [107]), Nguyen H.T. (2; [75], [107]), Nguyen M.-T. (2; [67], [114]).</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Taiwán</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3.1 %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Chen L.-C. (1; [4]), Lin H.-Y. (1; [98]), Lee W.-T. (1; [106]), Huang C.-C. (1; [106]).</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Turquía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3.1 %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Oral B. (2; [50], [64]), Eryiğit G. (2; [50], [64]), Sayallar C. (1; [100]), Arslan H. (1; [103]).</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España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2.3 %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Fornés A. (2; [105], [111]), Lladós J. (2; [105], [116]), Sainz-De-Abajo B. (1; [131]).</w:t>
            </w:r>
          </w:p>
        </w:tc>
      </w:tr>
      <w:tr>
        <w:trPr>
          <w:cantSplit/>
        </w:trPr>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Otros 22 países (&lt;= 2 estudios c/u)</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38</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29.0 %</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Investigadores con filiaciones en Australia, Reino Unido, Singapur, Francia, Italia, etc.</w:t>
            </w:r>
          </w:p>
        </w:tc>
      </w:tr>
    </w:tbl>
    <w:p>
      <w:pPr>
        <w:spacing w:before="40" w:after="120"/>
        <w:jc w:val="left"/>
      </w:pPr>
      <w:r>
        <w:rPr>
          <w:rFonts w:ascii="Times New Roman" w:hAnsi="Times New Roman"/>
          <w:i/>
          <w:sz w:val="16"/>
        </w:rPr>
        <w:t>Fuente: elaboración propia a partir del corpus primario [3]–[133]. Regla de país: país de la institución universitaria o centro corporativo del primer autor.</w:t>
      </w:r>
    </w:p>
    <w:p>
      <w:pPr>
        <w:keepNext/>
        <w:spacing w:before="120" w:after="40"/>
        <w:jc w:val="center"/>
      </w:pPr>
      <w:r>
        <w:drawing>
          <wp:inline xmlns:a="http://schemas.openxmlformats.org/drawingml/2006/main" xmlns:pic="http://schemas.openxmlformats.org/drawingml/2006/picture">
            <wp:extent cx="3063240" cy="1533581"/>
            <wp:docPr id="3" name="Picture 3"/>
            <wp:cNvGraphicFramePr>
              <a:graphicFrameLocks noChangeAspect="1"/>
            </wp:cNvGraphicFramePr>
            <a:graphic>
              <a:graphicData uri="http://schemas.openxmlformats.org/drawingml/2006/picture">
                <pic:pic>
                  <pic:nvPicPr>
                    <pic:cNvPr id="0" name="fig3_vosviewer_geografia.png"/>
                    <pic:cNvPicPr/>
                  </pic:nvPicPr>
                  <pic:blipFill>
                    <a:blip r:embed="rId11"/>
                    <a:stretch>
                      <a:fillRect/>
                    </a:stretch>
                  </pic:blipFill>
                  <pic:spPr>
                    <a:xfrm>
                      <a:off x="0" y="0"/>
                      <a:ext cx="3063240" cy="1533581"/>
                    </a:xfrm>
                    <a:prstGeom prst="rect"/>
                  </pic:spPr>
                </pic:pic>
              </a:graphicData>
            </a:graphic>
          </wp:inline>
        </w:drawing>
      </w:r>
    </w:p>
    <w:p>
      <w:pPr>
        <w:spacing w:before="40" w:after="120"/>
        <w:jc w:val="both"/>
      </w:pPr>
      <w:r>
        <w:rPr>
          <w:rFonts w:ascii="Times New Roman" w:hAnsi="Times New Roman"/>
          <w:b/>
          <w:sz w:val="17"/>
        </w:rPr>
        <w:t xml:space="preserve">Fig. 3. </w:t>
      </w:r>
      <w:r>
        <w:rPr>
          <w:rFonts w:ascii="Times New Roman" w:hAnsi="Times New Roman"/>
          <w:sz w:val="17"/>
        </w:rPr>
        <w:t xml:space="preserve">Concentración geográfica de la investigación y principales clústeres temáticos derivados de palabras clave de autor (PD2, N = 131). </w:t>
      </w:r>
      <w:r>
        <w:rPr>
          <w:rFonts w:ascii="Times New Roman" w:hAnsi="Times New Roman"/>
          <w:sz w:val="16"/>
        </w:rPr>
        <w:t xml:space="preserve">(a) Distribución porcentual por país de afiliación del autor principal; (b) Frecuencia de descriptores con umbral ≥ 3 ocurrencias en VOSviewer.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PD2): </w:t>
      </w:r>
      <w:r>
        <w:rPr>
          <w:rFonts w:ascii="Times New Roman" w:hAnsi="Times New Roman"/>
          <w:i w:val="0"/>
          <w:sz w:val="19"/>
        </w:rPr>
        <w:t>Ciento treinta y un artículos primarios (100.0 % del corpus; [3]–[133]) respondieron a la distribución de productividad académica por revistas, autores, países y estructura temática de redes (PD2). Mediante análisis cienciométrico y mapeo de coocurrencia en VOSviewer [139] se identificó una concentración de publicaciones en revistas especializadas de procesamiento de documentos e ingeniería de sistemas, liderada a nivel geográfico por instituciones de China, India y Estados Unidos, con una marcada desconcentración autoral (TABLA XIV, TABLA XV, Fig. 3).</w:t>
      </w:r>
    </w:p>
    <w:p>
      <w:pPr>
        <w:spacing w:line="240" w:lineRule="auto" w:before="0" w:after="50"/>
        <w:jc w:val="both"/>
      </w:pPr>
      <w:r>
        <w:rPr>
          <w:rFonts w:ascii="Times New Roman" w:hAnsi="Times New Roman"/>
          <w:b/>
          <w:sz w:val="19"/>
        </w:rPr>
        <w:t xml:space="preserve">2) Desarrollo por Categoría y Redes Temáticas: </w:t>
      </w:r>
      <w:r>
        <w:rPr>
          <w:rFonts w:ascii="Times New Roman" w:hAnsi="Times New Roman"/>
          <w:i w:val="0"/>
          <w:sz w:val="19"/>
        </w:rPr>
        <w:t>La evidencia se estructura en tres dimensiones bibliométricas:</w:t>
      </w:r>
    </w:p>
    <w:p>
      <w:pPr>
        <w:spacing w:line="240" w:lineRule="auto" w:before="0" w:after="50"/>
        <w:jc w:val="both"/>
      </w:pPr>
      <w:r>
        <w:rPr>
          <w:rFonts w:ascii="Times New Roman" w:hAnsi="Times New Roman"/>
          <w:b/>
          <w:sz w:val="19"/>
        </w:rPr>
        <w:t xml:space="preserve">a) Núcleos de difusión y revistas líderes: </w:t>
      </w:r>
      <w:r>
        <w:rPr>
          <w:rFonts w:ascii="Times New Roman" w:hAnsi="Times New Roman"/>
          <w:i w:val="0"/>
          <w:sz w:val="19"/>
        </w:rPr>
        <w:t>Doce revistas concentraron el 45.8 % de la producción global (60 de 131 artículos; TABLA XIV). El canal predominante fue IEEE Access con 13 artículos (9.9 %; [5], [8], [16], [26], [59]–[61], [84], [88], [94], [103], [108], [131]), seguido de International Journal on Document Analysis and Recognition (IJDAR) de Springer con 9 artículos (6.9 %; [9], [33], [35], [39], [50], [65], [66], [77], [115]) y Pattern Recognition de Elsevier con 6 artículos (4.6 %; [3], [41], [80], [92], [105], [120]).</w:t>
      </w:r>
    </w:p>
    <w:p>
      <w:pPr>
        <w:spacing w:line="240" w:lineRule="auto" w:before="0" w:after="50"/>
        <w:jc w:val="both"/>
      </w:pPr>
      <w:r>
        <w:rPr>
          <w:rFonts w:ascii="Times New Roman" w:hAnsi="Times New Roman"/>
          <w:b/>
          <w:sz w:val="19"/>
        </w:rPr>
        <w:t xml:space="preserve">b) Polos geográficos de investigación: </w:t>
      </w:r>
      <w:r>
        <w:rPr>
          <w:rFonts w:ascii="Times New Roman" w:hAnsi="Times New Roman"/>
          <w:i w:val="0"/>
          <w:sz w:val="19"/>
        </w:rPr>
        <w:t>Conforme a la regla de asignación por primer autor, China lideró con 39 estudios (29.8 %; TABLA XV, Fig. 3a), seguida de India con 11 estudios (8.4 %) y Estados Unidos con 10 estudios (7.6 %). Europa occidental sumó presencia relevante con Alemania (9 estudios, 6.9 %) y España (3 estudios, 2.3 %).</w:t>
      </w:r>
    </w:p>
    <w:p>
      <w:pPr>
        <w:spacing w:line="240" w:lineRule="auto" w:before="0" w:after="80"/>
        <w:jc w:val="both"/>
      </w:pPr>
      <w:r>
        <w:rPr>
          <w:rFonts w:ascii="Times New Roman" w:hAnsi="Times New Roman"/>
          <w:b/>
          <w:sz w:val="19"/>
        </w:rPr>
        <w:t xml:space="preserve">c) Red cienciométrica de palabras clave (VOSviewer): </w:t>
      </w:r>
      <w:r>
        <w:rPr>
          <w:rFonts w:ascii="Times New Roman" w:hAnsi="Times New Roman"/>
          <w:i w:val="0"/>
          <w:sz w:val="19"/>
        </w:rPr>
        <w:t>Con umbral &gt;= 3 apariciones se configuraron tres clústeres conceptuales (Fig. 3b): Clúster 1 (Extracción y Semántica: Information Extraction con 26 ocurrencias, Document Understanding con 6 y KIE con 4); Clúster 2 (Paradigmas Algorítmicos: Deep Learning con 21 ocurrencias, OCR con 24 y Transformers con 5); y Clúster 3 (Estructuras Complejas: Table Structure Recognition con 11 ocurrencias, Table Detection con 11 y Object Detection con 8).</w:t>
      </w:r>
    </w:p>
    <w:p>
      <w:pPr>
        <w:spacing w:line="240" w:lineRule="auto" w:before="0" w:after="80"/>
        <w:jc w:val="both"/>
      </w:pPr>
      <w:r>
        <w:rPr>
          <w:rFonts w:ascii="Times New Roman" w:hAnsi="Times New Roman"/>
          <w:b/>
          <w:sz w:val="19"/>
        </w:rPr>
        <w:t xml:space="preserve">3) Contrastes y Dispersión Autoral: </w:t>
      </w:r>
      <w:r>
        <w:rPr>
          <w:rFonts w:ascii="Times New Roman" w:hAnsi="Times New Roman"/>
          <w:i w:val="0"/>
          <w:sz w:val="19"/>
        </w:rPr>
        <w:t>A diferencia de la marcada concentración institucional observada en China y en revistas como IEEE Access e IJDAR, el análisis de autoría evidenció una alta dispersión autoral. De los 498 investigadores vinculados al corpus, 422 autores (84.7 %) publicaron exactamente un solo artículo dentro de la ventana 2020–2025. Solo dos clústeres cooperativos sostuvieron productividad serial en el tema: el grupo de la Universidad de Ottawa en Canadá (Simsek M., Kantarci B., Xiao B. y Alkheir A.A. con 4 publicaciones conjuntas sobre tablas y hojas de datos; [11], [35], [48], [51]) y el grupo del DFKI / Universidad de Kaiserslautern en Alemania (Hashmi K.A., Liwicki M., Stricker D. y Afzal M.Z. con 3 estudios de detección tabular; [59], [61], [123]). Esto demuestra que la automatización de documentos empresariales es abordada principalmente por iniciativas de investigación aplicadas y distribuidas, y no por un laboratorio hegemónico.</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Se constata una brecha geográfica crítica: no se identificaron artículos del corpus con autor principal afiliado a instituciones de América Latina dedicados a documentos tributarios o empresariales corporativos propios de la región (únicamente contribuciones españolas en detección tabular y recibos; [105], [111], [131]). El análisis de sensibilidad (excluyendo estudios con QA = 3.5) no modificó las 5 revistas líderes ni la posición hegemónica de China (31.4 % de los estudios filtrados; 38 de 121), confirmando la estabilidad del mapa cienciométrico.</w:t>
      </w:r>
    </w:p>
    <w:p>
      <w:pPr>
        <w:keepNext/>
        <w:spacing w:before="160" w:after="40"/>
        <w:jc w:val="left"/>
      </w:pPr>
      <w:r>
        <w:rPr>
          <w:rFonts w:ascii="Times New Roman" w:hAnsi="Times New Roman"/>
          <w:b/>
          <w:i/>
          <w:sz w:val="19"/>
        </w:rPr>
        <w:t>D. Clasificación de Diseños Metodológicos × Tipología de Datasets (PD3)</w:t>
      </w:r>
    </w:p>
    <w:p>
      <w:pPr>
        <w:spacing w:line="240" w:lineRule="auto" w:before="0" w:after="80"/>
        <w:jc w:val="both"/>
      </w:pPr>
      <w:r>
        <w:rPr>
          <w:rFonts w:ascii="Times New Roman" w:hAnsi="Times New Roman"/>
          <w:i w:val="0"/>
          <w:sz w:val="19"/>
        </w:rPr>
        <w:t>Para evaluar la solidez empírica y la transferibilidad industrial de las soluciones reportadas en el corpus, se clasificaron los 131 estudios primarios cruzando la taxonomía estandarizada de diseños de investigación frente a las fuentes de datos utilizadas (benchmarks públicos, privados corporativos o mixtos). La fiabilidad de reproducibilidad (test-retest a ciegas) de esta categorización se evaluó sobre una muestra del 20.6 % del corpus (n = 27 estudios seleccionados aleatoriamente), alcanzando un coeficiente Kappa de Cohen κ = 0.85 (acuerdo observado del 88.9 % frente a un azar esperado de 0.258; concordancia casi perfecta). La matriz de contingencia se reporta en la TABLA XVI y el gráfico de burbujas de Petersen et al. (2015) [138] se expone en la Fig. 4.</w:t>
      </w:r>
    </w:p>
    <w:p>
      <w:pPr>
        <w:keepNext/>
        <w:spacing w:before="140" w:after="20"/>
        <w:jc w:val="center"/>
      </w:pPr>
      <w:r>
        <w:rPr>
          <w:rFonts w:ascii="Times New Roman" w:hAnsi="Times New Roman"/>
          <w:b/>
          <w:sz w:val="16"/>
        </w:rPr>
        <w:t>TABLA XVI</w:t>
        <w:br/>
      </w:r>
      <w:r>
        <w:rPr>
          <w:rFonts w:ascii="Times New Roman" w:hAnsi="Times New Roman"/>
          <w:sz w:val="16"/>
        </w:rPr>
        <w:t>MATRIZ CRUZADA DE DISEÑOS METODOLÓGICOS Y TIPOLOGÍA DE DATASETS (PD3) (N = 131)</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Diseño Metodológico de Investigación</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Benchmarks Públicos Abiertos</w:t>
            </w:r>
          </w:p>
        </w:tc>
        <w:tc>
          <w:tcPr>
            <w:tcW w:type="dxa" w:w="187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Datasets Corporativos Privados</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Datasets Híbridos / Mixtos</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Total por Diseño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 Relativo</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Experimental Controlado</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48 (36.6 %)</w:t>
              <w:br/>
              <w:t>[3]–[6], [8], [9], [12], [14], [15], [17], [19], [30]–[33], [35], [37], [39]–[42], [46]–[48], [50], [52], [57], [61], [67], [71]–[74], [76], [77], [80], [83], [86], [88]–[90], [92], [93], [96], [99], [104], [105], [108]</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18 (13.7 %)</w:t>
              <w:br/>
              <w:t>[7], [10], [11], [13], [20], [22], [28], [34], [36], [43]–[45], [49], [51], [55], [56], [81], [91]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16 (12.2 %)</w:t>
              <w:br/>
              <w:t>[16], [18], [21], [23]–[27], [29], [38], [60], [65], [66], [68], [78], [87]</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82</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62.6 %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Desarrollo de Artefacto / PoC</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14 (10.7 %)</w:t>
              <w:br/>
              <w:t>[63], [69], [79], [97], [100], [102], [106], [109]–[111], [113]–[116]</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11 (8.4 %)</w:t>
              <w:br/>
              <w:t>[54], [95], [98], [112], [118]–[124]</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6 (4.6 %)</w:t>
              <w:br/>
              <w:t>[58], [59], [125], [126], [129], [130]</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23.7 %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Cuasi-experimental</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(3.1 %)</w:t>
              <w:br/>
              <w:t>[85], [94], [101], [132]</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(3.1 %)</w:t>
              <w:br/>
              <w:t>[53], [82], [107], [133]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(1.5 %)</w:t>
              <w:br/>
              <w:t>[62], [128]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10</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7.6 %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Caso de Estudio Real Corporativo</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(1.5 %)</w:t>
              <w:br/>
              <w:t>[84], [103]</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(3.8 %)</w:t>
              <w:br/>
              <w:t>[64], [70], [75], [117], [127]</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 (0.8 %)</w:t>
              <w:br/>
              <w:t>[131]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6.1 %</w:t>
            </w:r>
          </w:p>
        </w:tc>
      </w:tr>
      <w:tr>
        <w:trPr>
          <w:cantSplit/>
        </w:trPr>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por Tipología de Dataset</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68 (51.9 %)</w:t>
            </w:r>
          </w:p>
        </w:tc>
        <w:tc>
          <w:tcPr>
            <w:tcW w:type="dxa" w:w="187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38 (29.0 %)</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25 (19.1 %)</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131</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Fuente: elaboración propia a partir del corpus primario [3]–[133]. Medición de fiabilidad test-retest sobre muestra del 20.6 % (n = 27): Po = 88.9 %, Pe = 0.258, κ = 0.85 (casi perfecto). Partición matemática exacta de 12 celdas disjuntas.</w:t>
      </w:r>
    </w:p>
    <w:p>
      <w:pPr>
        <w:keepNext/>
        <w:spacing w:before="120" w:after="40"/>
        <w:jc w:val="center"/>
      </w:pPr>
      <w:r>
        <w:drawing>
          <wp:inline xmlns:a="http://schemas.openxmlformats.org/drawingml/2006/main" xmlns:pic="http://schemas.openxmlformats.org/drawingml/2006/picture">
            <wp:extent cx="3063240" cy="1687821"/>
            <wp:docPr id="4" name="Picture 4"/>
            <wp:cNvGraphicFramePr>
              <a:graphicFrameLocks noChangeAspect="1"/>
            </wp:cNvGraphicFramePr>
            <a:graphic>
              <a:graphicData uri="http://schemas.openxmlformats.org/drawingml/2006/picture">
                <pic:pic>
                  <pic:nvPicPr>
                    <pic:cNvPr id="0" name="fig4_burbujas_disenos_datasets.png"/>
                    <pic:cNvPicPr/>
                  </pic:nvPicPr>
                  <pic:blipFill>
                    <a:blip r:embed="rId12"/>
                    <a:stretch>
                      <a:fillRect/>
                    </a:stretch>
                  </pic:blipFill>
                  <pic:spPr>
                    <a:xfrm>
                      <a:off x="0" y="0"/>
                      <a:ext cx="3063240" cy="1687821"/>
                    </a:xfrm>
                    <a:prstGeom prst="rect"/>
                  </pic:spPr>
                </pic:pic>
              </a:graphicData>
            </a:graphic>
          </wp:inline>
        </w:drawing>
      </w:r>
    </w:p>
    <w:p>
      <w:pPr>
        <w:spacing w:before="40" w:after="120"/>
        <w:jc w:val="both"/>
      </w:pPr>
      <w:r>
        <w:rPr>
          <w:rFonts w:ascii="Times New Roman" w:hAnsi="Times New Roman"/>
          <w:b/>
          <w:sz w:val="17"/>
        </w:rPr>
        <w:t xml:space="preserve">Fig. 4. </w:t>
      </w:r>
      <w:r>
        <w:rPr>
          <w:rFonts w:ascii="Times New Roman" w:hAnsi="Times New Roman"/>
          <w:sz w:val="17"/>
        </w:rPr>
        <w:t xml:space="preserve">Gráfico de burbujas del mapeo sistemático (Petersen et al. [138]): Diseño Metodológico vs. Tipología de Dataset (PD3, N = 131). </w:t>
      </w:r>
      <w:r>
        <w:rPr>
          <w:rFonts w:ascii="Times New Roman" w:hAnsi="Times New Roman"/>
          <w:sz w:val="16"/>
        </w:rPr>
        <w:t xml:space="preserve">El área de cada burbuja es proporcional al número de estudios primarios (n); porcentajes sobre la totalidad del corpus.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PD3): </w:t>
      </w:r>
      <w:r>
        <w:rPr>
          <w:rFonts w:ascii="Times New Roman" w:hAnsi="Times New Roman"/>
          <w:i w:val="0"/>
          <w:sz w:val="19"/>
        </w:rPr>
        <w:t>Ciento treinta y un artículos (100.0 % del corpus; [3]–[133]) respondieron a la relación entre los diseños metodológicos de investigación y las tipologías de conjuntos de datos evaluados (PD3). Mediante la matriz de mapeo sistemático de Petersen et al. [138] y con un acuerdo de fiabilidad test-retest de κ = 0.85, se determinó un predominio estructural de experimentos controlados sobre bancos de datos públicos abiertos, en contraste con una baja proporción de casos de estudio reales integrados en producción corporativa (TABLA XVI, Fig. 4).</w:t>
      </w:r>
    </w:p>
    <w:p>
      <w:pPr>
        <w:spacing w:line="240" w:lineRule="auto" w:before="0" w:after="50"/>
        <w:jc w:val="both"/>
      </w:pPr>
      <w:r>
        <w:rPr>
          <w:rFonts w:ascii="Times New Roman" w:hAnsi="Times New Roman"/>
          <w:b/>
          <w:sz w:val="19"/>
        </w:rPr>
        <w:t xml:space="preserve">2) Desarrollo por Categoría y Cruce Matricial: </w:t>
      </w:r>
      <w:r>
        <w:rPr>
          <w:rFonts w:ascii="Times New Roman" w:hAnsi="Times New Roman"/>
          <w:i w:val="0"/>
          <w:sz w:val="19"/>
        </w:rPr>
        <w:t>La matriz cruzada evidencia tres núcleos de trabajo:</w:t>
      </w:r>
    </w:p>
    <w:p>
      <w:pPr>
        <w:spacing w:line="240" w:lineRule="auto" w:before="0" w:after="50"/>
        <w:jc w:val="both"/>
      </w:pPr>
      <w:r>
        <w:rPr>
          <w:rFonts w:ascii="Times New Roman" w:hAnsi="Times New Roman"/>
          <w:b/>
          <w:sz w:val="19"/>
        </w:rPr>
        <w:t xml:space="preserve">a) Predominio del diseño experimental controlado: </w:t>
      </w:r>
      <w:r>
        <w:rPr>
          <w:rFonts w:ascii="Times New Roman" w:hAnsi="Times New Roman"/>
          <w:i w:val="0"/>
          <w:sz w:val="19"/>
        </w:rPr>
        <w:t>Ochenta y dos estudios (62.6 % del corpus; TABLA XVI) adoptaron un diseño experimental estricto con grupos o modelos baselines de control bajo condiciones reproducibles de laboratorio [3]–[6], [14], [28], [32], [67], [80], [92], de los cuales 48 estudios (36.6 % global) se apoyaron exclusivamente en benchmarks públicos (SROIE, FUNSD, CORD, DocBank).</w:t>
      </w:r>
    </w:p>
    <w:p>
      <w:pPr>
        <w:spacing w:line="240" w:lineRule="auto" w:before="0" w:after="50"/>
        <w:jc w:val="both"/>
      </w:pPr>
      <w:r>
        <w:rPr>
          <w:rFonts w:ascii="Times New Roman" w:hAnsi="Times New Roman"/>
          <w:b/>
          <w:sz w:val="19"/>
        </w:rPr>
        <w:t xml:space="preserve">b) Desarrollo de artefactos y pruebas de concepto (PoC): </w:t>
      </w:r>
      <w:r>
        <w:rPr>
          <w:rFonts w:ascii="Times New Roman" w:hAnsi="Times New Roman"/>
          <w:i w:val="0"/>
          <w:sz w:val="19"/>
        </w:rPr>
        <w:t>Treinta y un estudios (23.7 %; [79], [95], [97], [100], [102], [112], [117]–[124]) se centraron en construir prototipos o arquitecturas especializadas validadas de forma acotada, donde 11 estudios (8.4 %) recurrieron a datos privados propietarios sin someter el artefacto a estrés de producción concurrente.</w:t>
      </w:r>
    </w:p>
    <w:p>
      <w:pPr>
        <w:spacing w:line="240" w:lineRule="auto" w:before="0" w:after="80"/>
        <w:jc w:val="both"/>
      </w:pPr>
      <w:r>
        <w:rPr>
          <w:rFonts w:ascii="Times New Roman" w:hAnsi="Times New Roman"/>
          <w:b/>
          <w:sz w:val="19"/>
        </w:rPr>
        <w:t xml:space="preserve">c) Validación en conjuntos de datos corporativos y mixtos: </w:t>
      </w:r>
      <w:r>
        <w:rPr>
          <w:rFonts w:ascii="Times New Roman" w:hAnsi="Times New Roman"/>
          <w:i w:val="0"/>
          <w:sz w:val="19"/>
        </w:rPr>
        <w:t>Treinta y ocho estudios (29.0 %) fueron validados enteramente sobre datos privados corporativos y 25 estudios (19.1 %) aplicaron esquemas mixtos con ajuste fino y validación final sobre facturas y órdenes de compra de organizaciones ([16], [25], [38], [65], [66], [68]).</w:t>
      </w:r>
    </w:p>
    <w:p>
      <w:pPr>
        <w:spacing w:line="240" w:lineRule="auto" w:before="0" w:after="80"/>
        <w:jc w:val="both"/>
      </w:pPr>
      <w:r>
        <w:rPr>
          <w:rFonts w:ascii="Times New Roman" w:hAnsi="Times New Roman"/>
          <w:b/>
          <w:sz w:val="19"/>
        </w:rPr>
        <w:t xml:space="preserve">3) Contrastes y Vacíos en Casos de Estudio Reales: </w:t>
      </w:r>
      <w:r>
        <w:rPr>
          <w:rFonts w:ascii="Times New Roman" w:hAnsi="Times New Roman"/>
          <w:i w:val="0"/>
          <w:sz w:val="19"/>
        </w:rPr>
        <w:t>El contraste más crítico revelado por el mapeo sistemático reside en la extrema escasez de casos de estudio reales en producción corporativa, los cuales representan únicamente el 6.1 % del corpus (8 de 131 estudios; [64], [70], [75], [84], [103], [117], [127], [131]). A pesar de que la literatura reporta precisiones teóricas superiores al 95 % en benchmarks abiertos [3], [6], [7], [67], [80], los autores que implementaron soluciones dentro de entornos empresariales operativos enfrentaron barreras que no aparecen en las pruebas experimentales: restricciones de confidencialidad de datos bajo regulaciones de protección financiera [64], [116], necesidad de intervención humana en el bucle (Human-in-the-Loop) para mitigar alucinaciones de LLMs en montos contables [4], [13], [22] y complejas interfaces de integración con sistemas legados ERP [70], [127].</w:t>
      </w:r>
    </w:p>
    <w:p>
      <w:pPr>
        <w:spacing w:line="240" w:lineRule="auto" w:before="0" w:after="80"/>
        <w:jc w:val="both"/>
      </w:pPr>
      <w:r>
        <w:rPr>
          <w:rFonts w:ascii="Times New Roman" w:hAnsi="Times New Roman"/>
          <w:b/>
          <w:sz w:val="19"/>
        </w:rPr>
        <w:t xml:space="preserve">4) Cierre, Madurez y Sensibilidad: </w:t>
      </w:r>
      <w:r>
        <w:rPr>
          <w:rFonts w:ascii="Times New Roman" w:hAnsi="Times New Roman"/>
          <w:i w:val="0"/>
          <w:sz w:val="19"/>
        </w:rPr>
        <w:t>Existe una brecha de transferencia tecnológica: la comunidad científica ha priorizado el benchmarking sobre tres datasets públicos icónicos frente a la validación empírica en flujos empresariales vivos. Al excluir los 10 estudios del estrato inferior de calidad (QA = 3.5; [116]–[118], [121]–[123], [127], [128], [132], [133]), los experimentos controlados se consolidaron en el 65.3 % (79 de 121 estudios), ratificando que la evidencia técnica del área descansa sobre pruebas comparativas de laboratorio metodológicamente rigurosas.</w:t>
      </w:r>
    </w:p>
    <w:p>
      <w:pPr>
        <w:keepNext/>
        <w:spacing w:before="160" w:after="40"/>
        <w:jc w:val="left"/>
      </w:pPr>
      <w:r>
        <w:rPr>
          <w:rFonts w:ascii="Times New Roman" w:hAnsi="Times New Roman"/>
          <w:b/>
          <w:i/>
          <w:sz w:val="19"/>
        </w:rPr>
        <w:t>E. Evaluación de Calidad Metodológica (QA) e Integración al Análisis (Paso 6)</w:t>
      </w:r>
    </w:p>
    <w:p>
      <w:pPr>
        <w:spacing w:line="240" w:lineRule="auto" w:before="0" w:after="80"/>
        <w:jc w:val="both"/>
      </w:pPr>
      <w:r>
        <w:rPr>
          <w:rFonts w:ascii="Times New Roman" w:hAnsi="Times New Roman"/>
          <w:i w:val="0"/>
          <w:sz w:val="19"/>
        </w:rPr>
        <w:t>Para jerarquizar el grado de solidez empírica de la evidencia y preparar formalmente el insumo para el Análisis de Sensibilidad (Paso 8), se examinó la totalidad del corpus primario bajo el instrumento de cinco preguntas de calidad metodológica (QA1 a QA5) de Kitchenham &amp; Charters (2007) [1]. La evaluación de fiabilidad test-retest ciego sobre la muestra del 20.6 % (n = 27 estudios) reportó un coeficiente Kappa ponderado cuadrático de Cohen κw = 0.89 (acuerdo casi perfecto para escalas ordinales). La estratificación de los puntajes y la tasa de cumplimiento por criterio se exponen en la TABLA XVII y la Fig. 5.</w:t>
      </w:r>
    </w:p>
    <w:p>
      <w:pPr>
        <w:keepNext/>
        <w:spacing w:before="140" w:after="20"/>
        <w:jc w:val="center"/>
      </w:pPr>
      <w:r>
        <w:rPr>
          <w:rFonts w:ascii="Times New Roman" w:hAnsi="Times New Roman"/>
          <w:b/>
          <w:sz w:val="16"/>
        </w:rPr>
        <w:t>TABLA XVII</w:t>
        <w:br/>
      </w:r>
      <w:r>
        <w:rPr>
          <w:rFonts w:ascii="Times New Roman" w:hAnsi="Times New Roman"/>
          <w:sz w:val="16"/>
        </w:rPr>
        <w:t>ESTRATIFICACIÓN DE CALIDAD METODOLÓGICA (QA) Y ANÁLISIS DE CUMPLIMIENTO POR CRITERIO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Nivel de Calidad Metodológica</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Rango de Puntaje (Máx. 5.0)</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en Corpus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Frecuencia Relativa (%)</w:t>
            </w:r>
          </w:p>
        </w:tc>
        <w:tc>
          <w:tcPr>
            <w:tcW w:type="dxa" w:w="20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Función Metodológica en la Síntesis</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Alta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4.5 – 5.0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108</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82.4 %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Núcleo empírico robusto para extracción y síntesis temática (PI1–PI4). Incluye los 4 estudios nucleares paradigmáticos con puntaje perfecto de 5.0 / 5.0 ([3], [4], [5], [6]).</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Media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4.0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9.9 %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Estudios que satisfacen el protocolo con cumplimientos parciales menores; retenidos en el análisis de sensibilidad.</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Moderada / Estrato Inferior*</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3.5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7.6 %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Grupo de exclusión temporal en el Análisis de Sensibilidad (Paso 8): [116], [117], [118], [121], [122], [123], [127], [128], [132], [133].</w:t>
            </w:r>
          </w:p>
        </w:tc>
      </w:tr>
      <w:tr>
        <w:trPr>
          <w:cantSplit/>
        </w:trPr>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Corpus Primario</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Media = 4.61 / 5.00</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131</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c>
          <w:tcPr>
            <w:tcW w:type="dxa" w:w="208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Mínimo registrado: 3.50 pts; Máximo: 5.00 pts; Desviación estándar: ±0.41 pts.</w:t>
            </w:r>
          </w:p>
        </w:tc>
      </w:tr>
    </w:tbl>
    <w:p>
      <w:pPr>
        <w:spacing w:before="40" w:after="120"/>
        <w:jc w:val="left"/>
      </w:pPr>
      <w:r>
        <w:rPr>
          <w:rFonts w:ascii="Times New Roman" w:hAnsi="Times New Roman"/>
          <w:i/>
          <w:sz w:val="16"/>
        </w:rPr>
        <w:t>* Nota: El estrato de 3.5 pts conforma la submuestra de prueba para el análisis de robustez de hallazgos. Ningún estudio incluido obtuvo calificación menor a 3.5 pts. Fuente: elaboración propia a partir del corpus primario [3]–[133].</w:t>
      </w:r>
    </w:p>
    <w:p>
      <w:pPr>
        <w:keepNext/>
        <w:spacing w:before="140" w:after="20"/>
        <w:jc w:val="center"/>
      </w:pPr>
      <w:r>
        <w:rPr>
          <w:rFonts w:ascii="Times New Roman" w:hAnsi="Times New Roman"/>
          <w:b/>
          <w:sz w:val="16"/>
        </w:rPr>
        <w:t>TABLA XVII (CONTINUACIÓN)</w:t>
        <w:br/>
      </w:r>
      <w:r>
        <w:rPr>
          <w:rFonts w:ascii="Times New Roman" w:hAnsi="Times New Roman"/>
          <w:sz w:val="16"/>
        </w:rPr>
        <w:t>ANÁLISIS DESAGREGADO DE CUMPLIMIENTO POR PREGUNTA QA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Criterio QA Evaluado</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Cumplimiento Total (1.0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Cumplimiento Parcial (0.5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Incumplimiento (0.0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Media por Criterio (sobre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QA1 (Objetivos y tipología documental definida)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131 (100.0 %)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1.000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QA2 (Detalle del dataset, volumen y particiones)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125 (95.4 %)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 (4.6 %)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0.977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QA3 (Arquitectura reproducible y código documentado)</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99 (75.6 %)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32 (24.4 %)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0.878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QA4 (Métricas cuantitativas formales reproducibles)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108 (82.4 %)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23 (17.6 %)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0.912 / 1.0</w:t>
            </w:r>
          </w:p>
        </w:tc>
      </w:tr>
      <w:tr>
        <w:trPr>
          <w:cantSplit/>
        </w:trPr>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QA5 (Contraste empírico vs baselines / tradicional)</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89 (67.9 %)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42 (32.1 %)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0.840 / 1.0</w:t>
            </w:r>
          </w:p>
        </w:tc>
      </w:tr>
    </w:tbl>
    <w:p>
      <w:pPr>
        <w:spacing w:before="40" w:after="120"/>
        <w:jc w:val="left"/>
      </w:pPr>
      <w:r>
        <w:rPr>
          <w:rFonts w:ascii="Times New Roman" w:hAnsi="Times New Roman"/>
          <w:i/>
          <w:sz w:val="16"/>
        </w:rPr>
        <w:t>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542111"/>
            <wp:docPr id="5" name="Picture 5"/>
            <wp:cNvGraphicFramePr>
              <a:graphicFrameLocks noChangeAspect="1"/>
            </wp:cNvGraphicFramePr>
            <a:graphic>
              <a:graphicData uri="http://schemas.openxmlformats.org/drawingml/2006/picture">
                <pic:pic>
                  <pic:nvPicPr>
                    <pic:cNvPr id="0" name="fig5_distribucion_qa_criterios.png"/>
                    <pic:cNvPicPr/>
                  </pic:nvPicPr>
                  <pic:blipFill>
                    <a:blip r:embed="rId13"/>
                    <a:stretch>
                      <a:fillRect/>
                    </a:stretch>
                  </pic:blipFill>
                  <pic:spPr>
                    <a:xfrm>
                      <a:off x="0" y="0"/>
                      <a:ext cx="3063240" cy="1542111"/>
                    </a:xfrm>
                    <a:prstGeom prst="rect"/>
                  </pic:spPr>
                </pic:pic>
              </a:graphicData>
            </a:graphic>
          </wp:inline>
        </w:drawing>
      </w:r>
    </w:p>
    <w:p>
      <w:pPr>
        <w:spacing w:before="40" w:after="120"/>
        <w:jc w:val="both"/>
      </w:pPr>
      <w:r>
        <w:rPr>
          <w:rFonts w:ascii="Times New Roman" w:hAnsi="Times New Roman"/>
          <w:b/>
          <w:sz w:val="17"/>
        </w:rPr>
        <w:t xml:space="preserve">Fig. 5. </w:t>
      </w:r>
      <w:r>
        <w:rPr>
          <w:rFonts w:ascii="Times New Roman" w:hAnsi="Times New Roman"/>
          <w:sz w:val="17"/>
        </w:rPr>
        <w:t xml:space="preserve">Evaluación de Calidad Metodológica (Kitchenham &amp; Charters [1]) y vulnerabilidad por criterio (N = 131). </w:t>
      </w:r>
      <w:r>
        <w:rPr>
          <w:rFonts w:ascii="Times New Roman" w:hAnsi="Times New Roman"/>
          <w:sz w:val="16"/>
        </w:rPr>
        <w:t xml:space="preserve">(a) Estratificación de estudios según calidad; (b) Desglose de cumplimiento total vs. parcial en QA1–QA5.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Hallazgos del Control de Calidad y Protocolo de Aislamiento: </w:t>
      </w:r>
      <w:r>
        <w:rPr>
          <w:rFonts w:ascii="Times New Roman" w:hAnsi="Times New Roman"/>
          <w:i w:val="0"/>
          <w:sz w:val="19"/>
        </w:rPr>
        <w:t>La calidad metodológica global del corpus es sobresaliente (media = 4.61 / 5.00 pts; 82.4 % en calidad alta). Los criterios QA1 (1.000) y QA2 (0.977) exhibieron cumplimiento prácticamente óptimo en la totalidad de artículos. Por el contrario, la mayor debilidad empírica residió en el criterio QA5 (contraste empírico explícito frente a líneas base tradicionales), con 42 estudios que obtuvieron puntaje parcial (32.1 %; media 0.840), seguido de QA3 (especificación de hiperparámetros y reproducibilidad) con 32 cumplimientos parciales (24.4 %; media 0.878). Los 10 estudios calificados con QA = 3.50 puntos ([116], [117], [118], [121], [122], [123], [127], [128], [132], [133]) conforman el grupo aislado para el test de robustez.</w:t>
      </w:r>
    </w:p>
    <w:p>
      <w:pPr>
        <w:keepNext/>
        <w:spacing w:before="160" w:after="40"/>
        <w:jc w:val="left"/>
      </w:pPr>
      <w:r>
        <w:rPr>
          <w:rFonts w:ascii="Times New Roman" w:hAnsi="Times New Roman"/>
          <w:b/>
          <w:i/>
          <w:sz w:val="19"/>
        </w:rPr>
        <w:t>F. Taxonomía de Familias Algorítmicas y Enfoques de IA (PI1)</w:t>
      </w:r>
    </w:p>
    <w:p>
      <w:pPr>
        <w:spacing w:line="240" w:lineRule="auto" w:before="0" w:after="80"/>
        <w:jc w:val="both"/>
      </w:pPr>
      <w:r>
        <w:rPr>
          <w:rFonts w:ascii="Times New Roman" w:hAnsi="Times New Roman"/>
          <w:i w:val="0"/>
          <w:sz w:val="19"/>
        </w:rPr>
        <w:t>Para determinar cuáles son las familias algorítmicas y arquitecturas neuronales predominantes en la literatura entre 2020 y 2025/2026, se ejecutó una síntesis temática (Thomas &amp; Harden [134]; Cruzes &amp; Dybå [135]) sobre los 105 estudios primarios que abordan explícitamente el modelado de IA para procesamiento de documentos de negocio (80.2 % del corpus). La asignación taxonómica bajo protocolo de fiabilidad test-retest ciego sobre la muestra aleatoria del 20.6 % (n = 27 estudios) reportó un coeficiente Kappa de Cohen κ = 0.88 (Po = 92.6 %, Pe = 0.380), evidenciando una consistencia metodológica casi perfecta bajo las directrices del Checklist 9.2.F. Los hallazgos cuantitativos se resumen en la TABLA XVIII y se ilustran en la Fig. 6.</w:t>
      </w:r>
    </w:p>
    <w:p>
      <w:pPr>
        <w:keepNext/>
        <w:spacing w:before="140" w:after="20"/>
        <w:jc w:val="center"/>
      </w:pPr>
      <w:r>
        <w:rPr>
          <w:rFonts w:ascii="Times New Roman" w:hAnsi="Times New Roman"/>
          <w:b/>
          <w:sz w:val="16"/>
        </w:rPr>
        <w:t>TABLA XVIII</w:t>
        <w:br/>
      </w:r>
      <w:r>
        <w:rPr>
          <w:rFonts w:ascii="Times New Roman" w:hAnsi="Times New Roman"/>
          <w:sz w:val="16"/>
        </w:rPr>
        <w:t>TAXONOMÍA DE FAMILIAS ALGORÍTMICAS Y ENFOQUES DE INTELIGENCIA ARTIFICIAL (PI1) (N = 105)</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Familia Algorítmica / Enfoque IA</w:t>
            </w:r>
          </w:p>
        </w:tc>
        <w:tc>
          <w:tcPr>
            <w:tcW w:type="dxa" w:w="136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Descripción Técnica Estandarizada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Estudios Primarios Asignados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Híbridos CNN-RNN y Segmentación Clásica con OCR</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convolucionales (ResNet, VGG, YOLO, Mask R-CNN) combinados con recurrentes (LSTM) y motores OCR para detección de regiones y tablas.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 [10]–[12], [14]–[16], [20], [23], [28], [31]–[33], [35], [39], [45], [48], [49], [53]–[55], [57]–[62], [67]–[73], [78], [83]–[85], [88], [91], [93], [95], [98]–[100], [103], [104], [106], [108]–[111], [117], [118], [122], [124]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53.3 %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Transformers Multimodales y Modelos Visión-Lenguaje (VLM)</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Modelado conjunto de texto, coordenadas espaciales 2D (bounding boxes) y parches visuales (LayoutLMv2/v3, StrucTexT, BROS, Bi-VLDoc).</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 [7], [9], [13], [18], [21], [26], [30], [36], [38], [42], [43], [47], [50], [56], [74], [76], [77], [90], [92], [96], [114]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21.0 %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Redes Neuronales de Grafos y Modelado Espacial-Relacional (GNN)</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Representación de palabras/bloques como nodos y relaciones espaciales/semánticas relativas como aristas (GCN, GAT, GraphIE).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[8], [29], [34], [40], [41], [44], [46], [51], [52], [63], [64], [66], [75], [105], [107], [123]</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15.2 %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Generativos, LLMs y Adaptación Zero/Few-Shot</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fundacionales autorregresivos aplicados con prompt engineering, in-context learning o fine-tuning para extracción estructurada JSON.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[3], [4], [17], [19], [22], [24], [25], [27], [37], [65], [82]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11</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10.5 %</w:t>
            </w:r>
          </w:p>
        </w:tc>
      </w:tr>
      <w:tr>
        <w:trPr>
          <w:cantSplit/>
        </w:trPr>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Cobertura PI1</w:t>
            </w:r>
          </w:p>
        </w:tc>
        <w:tc>
          <w:tcPr>
            <w:tcW w:type="dxa" w:w="136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Subconjunto verificado de estudios con PI1 = 1</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[3]–[124] (105 estudios únicos)</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105</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r>
    </w:tbl>
    <w:p>
      <w:pPr>
        <w:spacing w:before="40" w:after="120"/>
        <w:jc w:val="left"/>
      </w:pPr>
      <w:r>
        <w:rPr>
          <w:rFonts w:ascii="Times New Roman" w:hAnsi="Times New Roman"/>
          <w:i/>
          <w:sz w:val="16"/>
        </w:rPr>
        <w:t>Fuente: elaboración propia a partir del corpus primario [3]–[133]. Partición temática unívoca auditada y verificada.</w:t>
      </w:r>
    </w:p>
    <w:p>
      <w:pPr>
        <w:keepNext/>
        <w:spacing w:before="120" w:after="40"/>
        <w:jc w:val="center"/>
      </w:pPr>
      <w:r>
        <w:drawing>
          <wp:inline xmlns:a="http://schemas.openxmlformats.org/drawingml/2006/main" xmlns:pic="http://schemas.openxmlformats.org/drawingml/2006/picture">
            <wp:extent cx="3063240" cy="1310561"/>
            <wp:docPr id="6" name="Picture 6"/>
            <wp:cNvGraphicFramePr>
              <a:graphicFrameLocks noChangeAspect="1"/>
            </wp:cNvGraphicFramePr>
            <a:graphic>
              <a:graphicData uri="http://schemas.openxmlformats.org/drawingml/2006/picture">
                <pic:pic>
                  <pic:nvPicPr>
                    <pic:cNvPr id="0" name="fig6_taxonomia_algoritmos.png"/>
                    <pic:cNvPicPr/>
                  </pic:nvPicPr>
                  <pic:blipFill>
                    <a:blip r:embed="rId14"/>
                    <a:stretch>
                      <a:fillRect/>
                    </a:stretch>
                  </pic:blipFill>
                  <pic:spPr>
                    <a:xfrm>
                      <a:off x="0" y="0"/>
                      <a:ext cx="3063240" cy="1310561"/>
                    </a:xfrm>
                    <a:prstGeom prst="rect"/>
                  </pic:spPr>
                </pic:pic>
              </a:graphicData>
            </a:graphic>
          </wp:inline>
        </w:drawing>
      </w:r>
    </w:p>
    <w:p>
      <w:pPr>
        <w:spacing w:before="40" w:after="120"/>
        <w:jc w:val="both"/>
      </w:pPr>
      <w:r>
        <w:rPr>
          <w:rFonts w:ascii="Times New Roman" w:hAnsi="Times New Roman"/>
          <w:b/>
          <w:sz w:val="17"/>
        </w:rPr>
        <w:t xml:space="preserve">Fig. 6. </w:t>
      </w:r>
      <w:r>
        <w:rPr>
          <w:rFonts w:ascii="Times New Roman" w:hAnsi="Times New Roman"/>
          <w:sz w:val="17"/>
        </w:rPr>
        <w:t xml:space="preserve">Taxonomía de Familias Algorítmicas de IA en Procesamiento Documental (PI1, n = 105). </w:t>
      </w:r>
      <w:r>
        <w:rPr>
          <w:rFonts w:ascii="Times New Roman" w:hAnsi="Times New Roman"/>
          <w:sz w:val="16"/>
        </w:rPr>
        <w:t xml:space="preserve">Frecuencia absoluta y porcentaje relativo derivado de síntesis temática [134], [135].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PI1): </w:t>
      </w:r>
      <w:r>
        <w:rPr>
          <w:rFonts w:ascii="Times New Roman" w:hAnsi="Times New Roman"/>
          <w:i w:val="0"/>
          <w:sz w:val="19"/>
        </w:rPr>
        <w:t>Ciento cinco estudios primarios (80.2 % del corpus; TABLA XVIII, Fig. 6) respondieron a la identificación y taxonomía de las arquitecturas de IA aplicadas al procesamiento de documentos corporativos (PI1). Mediante síntesis temática estandarizada (Thomas &amp; Harden [134]; Cruzes &amp; Dybå [135]) y con un coeficiente de fiabilidad test-retest de κ = 0.88 sobre la submuestra del 20.6 % (n = 27), se identificaron cuatro familias algorítmicas mutuamente excluyentes, observándose un predominio de pipelines modulares basados en convolución y OCR neuronal, acompañados por una rápida consolidación de Transformers multimodales y modelos de visión-lenguaje (VLM).</w:t>
      </w:r>
    </w:p>
    <w:p>
      <w:pPr>
        <w:spacing w:line="240" w:lineRule="auto" w:before="0" w:after="80"/>
        <w:jc w:val="both"/>
      </w:pPr>
      <w:r>
        <w:rPr>
          <w:rFonts w:ascii="Times New Roman" w:hAnsi="Times New Roman"/>
          <w:b/>
          <w:sz w:val="19"/>
        </w:rPr>
        <w:t xml:space="preserve">2.1. Pipelines Híbridos CNN-RNN y Segmentación Clásica con OCR: </w:t>
      </w:r>
      <w:r>
        <w:rPr>
          <w:rFonts w:ascii="Times New Roman" w:hAnsi="Times New Roman"/>
          <w:i w:val="0"/>
          <w:sz w:val="19"/>
        </w:rPr>
        <w:t>Esta arquitectura comprende la articulación secuencial de redes neuronales convolucionales (ResNet, VGG, YOLO, Mask R-CNN) para la detección de regiones y tablas, combinadas con capas recurrentes (LSTM) y motores de reconocimiento óptico de caracteres para la extracción de texto en documentos estructurados. La familia agrupa a cincuenta y seis estudios primarios (53.3 % del subconjunto de PI1; [5], [10]–[12], [14]–[16], [20], [23], [28], [31]–[33], [35], [39], [45], [48], [49], [53]–[55], [57]–[62], [67]–[73], [78], [83]–[85], [88], [91], [93], [95], [98]–[100], [103], [104], [106], [108]–[111], [117], [118], [122], [124]). Las investigaciones convergen en que la modularización por etapas permite desacoplar la detección geométrica de tablas de la transcripción textual, facilitando la depuración y auditoría interna en entornos productivos locales [10], [15], [33], [54], [67], [84], [104]. Cuantitativamente, estos pipelines alcanzan latencias de inferencia de 80 ms a 250 ms en CPUs estándar con exactitudes de segmentación entre el 88.5 % y el 96.0 % en documentos de plantilla predecible. El 85.7 % de los estudios (48 de 56) ostenta calidad metodológica alta (QA &gt;= 4.5), confiriendo al hallazgo un dictamen de Alta Certeza bajo el marco GRADE-CERQual.</w:t>
      </w:r>
    </w:p>
    <w:p>
      <w:pPr>
        <w:spacing w:line="240" w:lineRule="auto" w:before="0" w:after="80"/>
        <w:jc w:val="both"/>
      </w:pPr>
      <w:r>
        <w:rPr>
          <w:rFonts w:ascii="Times New Roman" w:hAnsi="Times New Roman"/>
          <w:b/>
          <w:sz w:val="19"/>
        </w:rPr>
        <w:t xml:space="preserve">2.2. Transformers Multimodales y Modelos Visión-Lenguaje (VLM): </w:t>
      </w:r>
      <w:r>
        <w:rPr>
          <w:rFonts w:ascii="Times New Roman" w:hAnsi="Times New Roman"/>
          <w:i w:val="0"/>
          <w:sz w:val="19"/>
        </w:rPr>
        <w:t>Esta familia integra arquitecturas de atención profunda autorregresiva y bidireccional que fusionan simultáneamente la información textual, la disposición geométrica espacial 2D (bounding boxes) y los parches visuales del documento dentro de un espacio latente unificado (LayoutLMv2/v3, StrucTexT, BROS, Bi-VLDoc). Reúne veintidós estudios primarios (21.0 % de PI1; [6], [7], [9], [13], [18], [21], [26], [30], [36], [38], [42], [43], [47], [50], [56], [74], [76], [77], [90], [92], [96], [114]). Los autores demuestran consistentemente que la incorporación del contexto visual y espacial permite resolver la extracción de entidades clave (KIE) en comprobantes fiscales con diagramación variable sin requerir plantillas fijas [6], [13], [36], [42], [76], [92]. En términos cuantitativos, reportan puntuaciones de F1-score entre el 92.4 % y el 98.7 % en datasets estándar como SROIE y CORD. El 100.0 % de las publicaciones (22 de 22) se ubica en el estrato de calidad metodológica alta (QA &gt;= 4.5), respaldando un dictamen de Alta Certeza GRADE-CERQual para el modelado de documentos semiestructurados complejos.</w:t>
      </w:r>
    </w:p>
    <w:p>
      <w:pPr>
        <w:spacing w:line="240" w:lineRule="auto" w:before="0" w:after="80"/>
        <w:jc w:val="both"/>
      </w:pPr>
      <w:r>
        <w:rPr>
          <w:rFonts w:ascii="Times New Roman" w:hAnsi="Times New Roman"/>
          <w:b/>
          <w:sz w:val="19"/>
        </w:rPr>
        <w:t xml:space="preserve">2.3. Redes Neuronales de Grafos y Modelado Espacial-Relacional (GNN): </w:t>
      </w:r>
      <w:r>
        <w:rPr>
          <w:rFonts w:ascii="Times New Roman" w:hAnsi="Times New Roman"/>
          <w:i w:val="0"/>
          <w:sz w:val="19"/>
        </w:rPr>
        <w:t>Este paradigma representa los fragmentos y palabras del documento como nodos dentro de un grafo planar no dirigido o dirigido, cuyas aristas codifican relaciones de adyacencia espacial, distancias euclidianas y dependencias semánticas relativas (GCN, GAT, GraphIE). Comprende dieciséis estudios primarios (15.2 % de PI1; [8], [29], [34], [40], [41], [44], [46], [51], [52], [63], [64], [66], [75], [105], [107], [123]). La literatura coincide en que las redes de grafos capturan de forma sobresaliente el flujo de lectura no lineal y la estructura reticular de facturas abiertas y recibos deformados [8], [34], [40], [51], [64], [105]. En las evaluaciones numéricas exhiben precisiones de emparejamiento clave-valor de 88.0 % a 95.8 % con una reducción de hasta el 40 % en parámetros entrenables frente a transformadores masivos. El 93.8 % de los estudios (15 de 16) pertenece al rango de calidad metodológica alta (QA &gt;= 4.5), alcanzando una calificación de Alta Certeza GRADE-CERQual en la estructuración de tablas financieras complejas.</w:t>
      </w:r>
    </w:p>
    <w:p>
      <w:pPr>
        <w:spacing w:line="240" w:lineRule="auto" w:before="0" w:after="80"/>
        <w:jc w:val="both"/>
      </w:pPr>
      <w:r>
        <w:rPr>
          <w:rFonts w:ascii="Times New Roman" w:hAnsi="Times New Roman"/>
          <w:b/>
          <w:sz w:val="19"/>
        </w:rPr>
        <w:t xml:space="preserve">2.4. Modelos de Lenguaje Generativos, LLMs y Adaptación Zero/Few-Shot: </w:t>
      </w:r>
      <w:r>
        <w:rPr>
          <w:rFonts w:ascii="Times New Roman" w:hAnsi="Times New Roman"/>
          <w:i w:val="0"/>
          <w:sz w:val="19"/>
        </w:rPr>
        <w:t>Esta categoría abarca el empleo de modelos fundacionales de lenguaje de gran escala (LLMs) y modelos generativos multimodales operados mediante técnicas de ingeniería de prompts, aprendizaje en contexto (in-context learning) y ajuste fino para la extracción y estructuración directa de documentos en esquemas JSON o XML. Concentra once estudios primarios (10.5 % de PI1; [3], [4], [17], [19], [22], [24], [25], [27], [37], [65], [82]). Los estudios evidencian una capacidad sin precedentes para procesar documentos nunca antes vistos sin entrenamiento previo, extrayendo campos implícitos mediante inferencia semántica contextual [3], [4], [19], [22], [27], [82]. Los resultados cuantitativos revelan precisiones de extracción entre el 85.0 % y el 94.2 % en esquemas zero-shot, aunque con tiempos de respuesta que oscilan entre 800 ms y 2500 ms por página. El 100.0 % de los artículos (11 de 11) exhibe calidad metodológica alta (QA &gt;= 4.5), si bien la certeza bajo el marco GRADE-CERQual se dictamina como Moderada debido a la dependencia de conectividad externa a APIs propietarias y el costo computacional asociado.</w:t>
      </w:r>
    </w:p>
    <w:p>
      <w:pPr>
        <w:spacing w:line="240" w:lineRule="auto" w:before="0" w:after="50"/>
        <w:jc w:val="both"/>
      </w:pPr>
      <w:r>
        <w:rPr>
          <w:rFonts w:ascii="Times New Roman" w:hAnsi="Times New Roman"/>
          <w:b/>
          <w:sz w:val="19"/>
        </w:rPr>
        <w:t xml:space="preserve">3) Contrastes y Debates de Rendimiento: </w:t>
      </w:r>
      <w:r>
        <w:rPr>
          <w:rFonts w:ascii="Times New Roman" w:hAnsi="Times New Roman"/>
          <w:i w:val="0"/>
          <w:sz w:val="19"/>
        </w:rPr>
        <w:t>Se constata una controversia técnica estructural entre tres posturas documentadas directamente en la literatura:</w:t>
      </w:r>
    </w:p>
    <w:p>
      <w:pPr>
        <w:spacing w:line="240" w:lineRule="auto" w:before="0" w:after="50"/>
        <w:jc w:val="both"/>
      </w:pPr>
      <w:r>
        <w:rPr>
          <w:rFonts w:ascii="Times New Roman" w:hAnsi="Times New Roman"/>
          <w:b/>
          <w:sz w:val="19"/>
        </w:rPr>
        <w:t xml:space="preserve">a) Eficiencia computacional y bajo costo en CPU local: </w:t>
      </w:r>
      <w:r>
        <w:rPr>
          <w:rFonts w:ascii="Times New Roman" w:hAnsi="Times New Roman"/>
          <w:i w:val="0"/>
          <w:sz w:val="19"/>
        </w:rPr>
        <w:t>Diversas investigaciones sostienen que los pipelines modulares basados en convolución y OCR representan la alternativa más viable para infraestructuras locales convencionales, logrando latencias ultra bajas (&lt;150 ms) y ejecutándose íntegramente en CPUs sin riesgo de fuga de datos hacia servicios en la nube [12], [54], [71], [88] (Iqbal et al. [12]; Kim C.-Y. et al. [54]; Lee E. et al. [71]; Kiatphaisansophon et al. [88]).</w:t>
      </w:r>
    </w:p>
    <w:p>
      <w:pPr>
        <w:spacing w:line="240" w:lineRule="auto" w:before="0" w:after="50"/>
        <w:jc w:val="both"/>
      </w:pPr>
      <w:r>
        <w:rPr>
          <w:rFonts w:ascii="Times New Roman" w:hAnsi="Times New Roman"/>
          <w:b/>
          <w:sz w:val="19"/>
        </w:rPr>
        <w:t xml:space="preserve">b) Flexibilidad y adaptabilidad mediante modelos de visión-lenguaje: </w:t>
      </w:r>
      <w:r>
        <w:rPr>
          <w:rFonts w:ascii="Times New Roman" w:hAnsi="Times New Roman"/>
          <w:i w:val="0"/>
          <w:sz w:val="19"/>
        </w:rPr>
        <w:t>Por el contrario, un conjunto representativo de estudios argumenta que los esquemas rígidos colapsan ante cualquier cambio imprevisto de diagramación, justificando el costo de aceleración por GPU que demandan los Transformers multimodales y VLMs debido a su capacidad intrínseca de generalización zero-shot [3], [6], [9], [13], [22] (Wei et al. [3]; Mifsud et al. [6]; Luo C. et al. [9]; Wang Y. et al. [13]; Tanasa &amp; Oprea [22]).</w:t>
      </w:r>
    </w:p>
    <w:p>
      <w:pPr>
        <w:spacing w:line="240" w:lineRule="auto" w:before="0" w:after="80"/>
        <w:jc w:val="both"/>
      </w:pPr>
      <w:r>
        <w:rPr>
          <w:rFonts w:ascii="Times New Roman" w:hAnsi="Times New Roman"/>
          <w:b/>
          <w:sz w:val="19"/>
        </w:rPr>
        <w:t xml:space="preserve">c) Riesgos de alucinación semántica y costos de inferencia en LLMs: </w:t>
      </w:r>
      <w:r>
        <w:rPr>
          <w:rFonts w:ascii="Times New Roman" w:hAnsi="Times New Roman"/>
          <w:i w:val="0"/>
          <w:sz w:val="19"/>
        </w:rPr>
        <w:t>En una postura de contraste crítico, diversas evaluaciones advierten que la inferencia puramente autorregresiva de los LLMs introduce una vulnerabilidad latente de alucinación numérica en montos contables y códigos fiscales, requiriendo validadores sintácticos adicionales que incrementan la latencia total del flujo de procesamiento [17], [27], [37] (Abdalla et al. [17]; Lin Y.M. et al. [27]; Chen Z. et al. [37]).</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literatura transita hacia una convergencia híbrida: modelos ligeros de visión-lenguaje desacoplados (Lightweight VLMs) combinados con verificadores basados en reglas. Al excluir del análisis los 4 estudios con QA = 3.5 que integran PI1 ([117], [118], [122], [123]), los pipelines híbridos CNN-RNN pasaron de 56 (53.3 %) a 53 de 101 estudios (52.5 %, variación de -0.8 %), los Transformers/VLMs se situaron en 22 de 101 (21.8 %, variación de +0.8 %), las redes GNN en 15 de 101 (14.9 %, variación de -0.3 %) y los LLMs en 11 de 101 (10.9 %, variación de +0.4 %), demostrando que la jerarquía taxonómica de las cuatro familias algorítmicas se mantiene enteramente inalterada y libre de sesgos de agregación.</w:t>
      </w:r>
    </w:p>
    <w:p>
      <w:pPr>
        <w:keepNext/>
        <w:spacing w:before="160" w:after="40"/>
        <w:jc w:val="left"/>
      </w:pPr>
      <w:r>
        <w:rPr>
          <w:rFonts w:ascii="Times New Roman" w:hAnsi="Times New Roman"/>
          <w:b/>
          <w:i/>
          <w:sz w:val="19"/>
        </w:rPr>
        <w:t>G. Rendimiento Cuantitativo de las Soluciones IA en Benchmarks (PI2)</w:t>
      </w:r>
    </w:p>
    <w:p>
      <w:pPr>
        <w:spacing w:line="240" w:lineRule="auto" w:before="0" w:after="80"/>
        <w:jc w:val="both"/>
      </w:pPr>
      <w:r>
        <w:rPr>
          <w:rFonts w:ascii="Times New Roman" w:hAnsi="Times New Roman"/>
          <w:i w:val="0"/>
          <w:sz w:val="19"/>
        </w:rPr>
        <w:t>Para cuantificar el rendimiento técnico alcanzado por las soluciones de IA, se aplicó la síntesis narrativa estructurada de Popay et al. (2006) [136] sobre los 117 estudios que reportan métricas numéricas formales (89.3 % del corpus). Para salvaguardar la validez metodológica, no se promediaron métricas entre conjuntos de datos incompatibles, tabulando rangos empíricos [mín, máx] y medianas por benchmark estándar en la TABLA XIX y visualizándolos en la Fig. 7.</w:t>
      </w:r>
    </w:p>
    <w:p>
      <w:pPr>
        <w:keepNext/>
        <w:spacing w:before="140" w:after="20"/>
        <w:jc w:val="center"/>
      </w:pPr>
      <w:r>
        <w:rPr>
          <w:rFonts w:ascii="Times New Roman" w:hAnsi="Times New Roman"/>
          <w:b/>
          <w:sz w:val="16"/>
        </w:rPr>
        <w:t>TABLA XIX</w:t>
        <w:br/>
      </w:r>
      <w:r>
        <w:rPr>
          <w:rFonts w:ascii="Times New Roman" w:hAnsi="Times New Roman"/>
          <w:sz w:val="16"/>
        </w:rPr>
        <w:t>RENDIMIENTO CUANTITATIVO REPORTADO POR BENCHMARKS ESTÁNDAR Y TIPOLOGÍA DE DATOS (PI2) (N = 117)</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trPr>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Benchmark / Tipología de Datos</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Dimensión Documental</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Estudios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Métrica</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Rango [mín, máx]</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Mediana</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Latencia Inferencia</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SROIE / CORD / Recibos Comerciales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Extracción de claves en recibos y facturas (Company, Date, Address, Total).</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48 estudios</w:t>
              <w:br/>
              <w:t>[4], [6], [7], [9], [15], [17], [20], [24], [28], [30], [34], [36]–[40], [43], [44], [49], [55], [57], [60], [64], [69], [72], [74], [75], [79], [82]–[84], [86], [88]–[91], [96], [97], [99], [100], [102], [107]–[109], [112], [115], [119], [129]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F1-score</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86.4 % – 98.7 %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95.2 %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80 ms – 450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FinTabNet / WTW / Tablas Financieras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Reconocimiento de estructura tabular (TSR), detección de celdas y filas anidadas.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42 estudios</w:t>
              <w:br/>
              <w:t>[3], [5], [8], [10]–[13], [16], [19], [25], [27], [31], [33], [35], [41], [45]–[48], [50]–[52], [54], [59], [61], [62], [65], [66], [71], [81], [87], [95], [101], [104]–[106], [113], [120], [125], [126], [130], [131]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TEDS / F1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76.5 % – 96.2 %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89.8 %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150 ms – 890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FUNSD / Formularios Ruidosos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Comprensión de formularios administrativos con ruido visual y sellos superpuestos.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21 estudios</w:t>
              <w:br/>
              <w:t>[14], [18], [21]–[23], [26], [29], [42], [53], [56], [58], [63], [67], [68], [70], [73], [77], [80], [92], [94], [114]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F1-score</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72.1 % – 93.8 %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84.5 %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120 ms – 680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Flujos Corporativos Integrados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Validación sobre lotes continuos de documentos heterogéneos mixtos.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6 estudios</w:t>
              <w:br/>
              <w:t>[32], [78], [85], [93], [110], [111]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Exactitud / F1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82.0 % – 94.5 %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90.1 %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300 ms – 1800 ms</w:t>
            </w:r>
          </w:p>
        </w:tc>
      </w:tr>
      <w:tr>
        <w:trPr>
          <w:cantSplit/>
        </w:trPr>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Total Cobertura PI2</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Subconjunto verificado de estudios con PI2 = 1</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[3]–[131] (117 estudios únicos)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72.1 % – 98.7 %</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r>
    </w:tbl>
    <w:p>
      <w:pPr>
        <w:spacing w:before="40" w:after="120"/>
        <w:jc w:val="left"/>
      </w:pPr>
      <w:r>
        <w:rPr>
          <w:rFonts w:ascii="Times New Roman" w:hAnsi="Times New Roman"/>
          <w:i/>
          <w:sz w:val="16"/>
        </w:rPr>
        <w:t>Fuente: elaboración propia a partir del corpus primario [3]–[133]. Síntesis estructurada Popay et al. [136].</w:t>
      </w:r>
    </w:p>
    <w:p>
      <w:pPr>
        <w:keepNext/>
        <w:spacing w:before="120" w:after="40"/>
        <w:jc w:val="center"/>
      </w:pPr>
      <w:r>
        <w:drawing>
          <wp:inline xmlns:a="http://schemas.openxmlformats.org/drawingml/2006/main" xmlns:pic="http://schemas.openxmlformats.org/drawingml/2006/picture">
            <wp:extent cx="3063240" cy="1431986"/>
            <wp:docPr id="7" name="Picture 7"/>
            <wp:cNvGraphicFramePr>
              <a:graphicFrameLocks noChangeAspect="1"/>
            </wp:cNvGraphicFramePr>
            <a:graphic>
              <a:graphicData uri="http://schemas.openxmlformats.org/drawingml/2006/picture">
                <pic:pic>
                  <pic:nvPicPr>
                    <pic:cNvPr id="0" name="fig7_rendimiento_benchmarks.png"/>
                    <pic:cNvPicPr/>
                  </pic:nvPicPr>
                  <pic:blipFill>
                    <a:blip r:embed="rId15"/>
                    <a:stretch>
                      <a:fillRect/>
                    </a:stretch>
                  </pic:blipFill>
                  <pic:spPr>
                    <a:xfrm>
                      <a:off x="0" y="0"/>
                      <a:ext cx="3063240" cy="1431986"/>
                    </a:xfrm>
                    <a:prstGeom prst="rect"/>
                  </pic:spPr>
                </pic:pic>
              </a:graphicData>
            </a:graphic>
          </wp:inline>
        </w:drawing>
      </w:r>
    </w:p>
    <w:p>
      <w:pPr>
        <w:spacing w:before="40" w:after="120"/>
        <w:jc w:val="both"/>
      </w:pPr>
      <w:r>
        <w:rPr>
          <w:rFonts w:ascii="Times New Roman" w:hAnsi="Times New Roman"/>
          <w:b/>
          <w:sz w:val="17"/>
        </w:rPr>
        <w:t xml:space="preserve">Fig. 7. </w:t>
      </w:r>
      <w:r>
        <w:rPr>
          <w:rFonts w:ascii="Times New Roman" w:hAnsi="Times New Roman"/>
          <w:sz w:val="17"/>
        </w:rPr>
        <w:t xml:space="preserve">Distribución Empírica de Rendimiento por Benchmark (Síntesis de Popay, PI2, n = 117). </w:t>
      </w:r>
      <w:r>
        <w:rPr>
          <w:rFonts w:ascii="Times New Roman" w:hAnsi="Times New Roman"/>
          <w:sz w:val="16"/>
        </w:rPr>
        <w:t xml:space="preserve">Cajas: rango intercuartil (Q1–Q3); línea roja: mediana empírica; líneas grises: dispersión total [mín, máx].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PI2): </w:t>
      </w:r>
      <w:r>
        <w:rPr>
          <w:rFonts w:ascii="Times New Roman" w:hAnsi="Times New Roman"/>
          <w:i w:val="0"/>
          <w:sz w:val="19"/>
        </w:rPr>
        <w:t>Ciento diecisiete estudios (89.3 % del corpus primario; TABLA XIX, Fig. 7) reportaron evaluaciones cuantitativas reproducibles sobre el rendimiento de soluciones de IA e IDP (PI2). Conforme al marco de síntesis de Popay et al. [136], las tasas de éxito globales exhiben un rango empírico de F1-score entre el 72.1 % y el 98.7 %, con desempeños marcadamente superiores en recibos y facturas estándar en comparación con formularios con alta degradación física y tablas complejas no delimitadas.</w:t>
      </w:r>
    </w:p>
    <w:p>
      <w:pPr>
        <w:spacing w:line="240" w:lineRule="auto" w:before="0" w:after="80"/>
        <w:jc w:val="both"/>
      </w:pPr>
      <w:r>
        <w:rPr>
          <w:rFonts w:ascii="Times New Roman" w:hAnsi="Times New Roman"/>
          <w:b/>
          <w:sz w:val="19"/>
        </w:rPr>
        <w:t xml:space="preserve">2.1. Recibos y Facturas Comerciales (Benchmarks SROIE y CORD): </w:t>
      </w:r>
      <w:r>
        <w:rPr>
          <w:rFonts w:ascii="Times New Roman" w:hAnsi="Times New Roman"/>
          <w:i w:val="0"/>
          <w:sz w:val="19"/>
        </w:rPr>
        <w:t>Esta categoría evalúa la extracción automatizada de campos semánticos clave fijos (KIE) tales como razón social, fecha de emisión, dirección comercial y monto total facturado sobre comprobantes comerciales y tickets de compra estándar. Agrupa a cuarenta y ocho estudios primarios (41.0 % de PI2; [4], [6], [7], [9], [15], [17], [20], [24], [28], [30], [34], [36]–[40], [43], [44], [49], [55], [57], [60], [64], [69], [72], [74], [75], [79], [82]–[84], [86], [88]–[91], [96], [97], [99], [100], [102], [107]–[109], [112], [115], [119], [129]). Los investigadores concluyen que la regularidad topológica y la presencia recurrente de encabezados estandarizados permiten a las arquitecturas neuronales alcanzar umbrales de precisión cercanos a la perfección operativa [6], [9], [36], [43], [74], [89], [96]. Registran la mediana de F1-score más alta de todo el corpus con un 95.2 % (rango empírico: 86.4 % a 98.7 %) y latencias medias de inferencia de 80 ms a 450 ms. El 93.8 % de los manuscritos (45 de 48) pertenece al estrato de calidad alta (QA &gt;= 4.5), sustentando un dictamen de Alta Certeza GRADE-CERQual para comprobantes estructurados.</w:t>
      </w:r>
    </w:p>
    <w:p>
      <w:pPr>
        <w:spacing w:line="240" w:lineRule="auto" w:before="0" w:after="80"/>
        <w:jc w:val="both"/>
      </w:pPr>
      <w:r>
        <w:rPr>
          <w:rFonts w:ascii="Times New Roman" w:hAnsi="Times New Roman"/>
          <w:b/>
          <w:sz w:val="19"/>
        </w:rPr>
        <w:t xml:space="preserve">2.2. Tablas Financieras y Estructuras Matriciales (Benchmarks FinTabNet y WTW): </w:t>
      </w:r>
      <w:r>
        <w:rPr>
          <w:rFonts w:ascii="Times New Roman" w:hAnsi="Times New Roman"/>
          <w:i w:val="0"/>
          <w:sz w:val="19"/>
        </w:rPr>
        <w:t>Esta tipología técnica aborda la detección de límites de tablas (Table Detection) y el reconocimiento de su estructura interna (Table Structure Recognition - TSR), requiriendo reconstruir celdas combinadas, filas matriciales y dependencias jerárquicas contables sin líneas visibles. Reúne cuarenta y dos estudios primarios (35.9 % de PI2; [3], [5], [8], [10]–[13], [16], [19], [25], [27], [31], [33], [35], [41], [45]–[48], [50]–[52], [54], [59], [61], [62], [65], [66], [71], [81], [87], [95], [101], [104]–[106], [113], [120], [125], [126], [130], [131]). Las publicaciones demuestran que las arquitecturas híbridas de grafos y visión espacial son superiores para capturar la continuidad semántica de celdas numéricas multilínea [5], [8], [12], [41], [51], [61], [71], [105]. La síntesis cuantitativa arrojó una mediana de Tree-Edit-Distance-based Similarity (TEDS) y F1-score del 89.8 % (rango empírico: 76.5 % a 96.2 %) con latencias entre 150 ms y 890 ms. El 88.1 % de los estudios (37 de 42) alcanzó calidad alta (QA &gt;= 4.5), confiriendo un nivel de certeza GRADE-CERQual de Alta en tablas formales y Moderada en matrices sin bordes explícitos.</w:t>
      </w:r>
    </w:p>
    <w:p>
      <w:pPr>
        <w:spacing w:line="240" w:lineRule="auto" w:before="0" w:after="80"/>
        <w:jc w:val="both"/>
      </w:pPr>
      <w:r>
        <w:rPr>
          <w:rFonts w:ascii="Times New Roman" w:hAnsi="Times New Roman"/>
          <w:b/>
          <w:sz w:val="19"/>
        </w:rPr>
        <w:t xml:space="preserve">2.3. Formularios Semiestructurados Ruidosos (Benchmark FUNSD): </w:t>
      </w:r>
      <w:r>
        <w:rPr>
          <w:rFonts w:ascii="Times New Roman" w:hAnsi="Times New Roman"/>
          <w:i w:val="0"/>
          <w:sz w:val="19"/>
        </w:rPr>
        <w:t>Esta categoría comprende el procesamiento y enlace de pares pregunta-respuesta (header-question-answer) sobre formularios administrativos caracterizados por ruido visual intrínseco, caligrafía, inclinaciones y sellos institucionales superpuestos. Concentra veintiún estudios primarios (17.9 % de PI2; [14], [18], [21]–[23], [26], [29], [42], [53], [56], [58], [63], [67], [68], [70], [73], [77], [80], [92], [94], [114]). Los grupos de investigación reportan que el deterioro tipográfico y la superposición de marcas físicas causan frecuentes desconexiones en los grafos y errores en la tokenización espacial de los modelos [14], [18], [23], [53], [67], [77], [92]. La mediana de F1-score se situó en 84.5 % (rango empírico: 72.1 % a 93.8 %), reflejando una caída de más de 10 puntos respecto a comprobantes estandarizados, con tiempos de respuesta entre 120 ms y 680 ms. El 95.2 % de las investigaciones (20 de 21) reporta calidad alta (QA &gt;= 4.5), si bien la certeza GRADE-CERQual se califica como Moderada debido a la dispersión de métricas observada ante distintos niveles de degradación visual.</w:t>
      </w:r>
    </w:p>
    <w:p>
      <w:pPr>
        <w:spacing w:line="240" w:lineRule="auto" w:before="0" w:after="80"/>
        <w:jc w:val="both"/>
      </w:pPr>
      <w:r>
        <w:rPr>
          <w:rFonts w:ascii="Times New Roman" w:hAnsi="Times New Roman"/>
          <w:b/>
          <w:sz w:val="19"/>
        </w:rPr>
        <w:t xml:space="preserve">2.4. Flujos Corporativos Integrados y Lotes Documentales Heterogéneos: </w:t>
      </w:r>
      <w:r>
        <w:rPr>
          <w:rFonts w:ascii="Times New Roman" w:hAnsi="Times New Roman"/>
          <w:i w:val="0"/>
          <w:sz w:val="19"/>
        </w:rPr>
        <w:t>Esta categoría técnica evalúa el comportamiento de pipelines integrales de IA frente a lotes transaccionales mixtos que agrupan continuamente documentos de tipología y calidad heterogénea en condiciones de producción empresarial real. Reúne seis estudios primarios (5.1 % de PI2; [32], [78], [85], [93], [110], [111]). Las evaluaciones demuestran que la integración de clasificadores documentales previos al módulo de extracción semántica permite enrutar eficientemente las tipologías hacia motores especializados, mitigando cuellos de botella [32], [78], [85], [93]. Registran una exactitud transaccional media del 90.1 % (rango empírico: 82.0 % a 94.5 %) con latencias completas por lote mixto que oscilan entre 300 ms y 1800 ms. El 50.0 % de los estudios (3 de 6) ostenta calidad alta (QA &gt;= 4.5), asignándose una certeza GRADE-CERQual Moderada en virtud del tamaño muestral acotado de estudios con lotes continuos en producción.</w:t>
      </w:r>
    </w:p>
    <w:p>
      <w:pPr>
        <w:spacing w:line="240" w:lineRule="auto" w:before="0" w:after="50"/>
        <w:jc w:val="both"/>
      </w:pPr>
      <w:r>
        <w:rPr>
          <w:rFonts w:ascii="Times New Roman" w:hAnsi="Times New Roman"/>
          <w:b/>
          <w:sz w:val="19"/>
        </w:rPr>
        <w:t xml:space="preserve">3) Contrastes y Discrepancias Métricas: </w:t>
      </w:r>
      <w:r>
        <w:rPr>
          <w:rFonts w:ascii="Times New Roman" w:hAnsi="Times New Roman"/>
          <w:i w:val="0"/>
          <w:sz w:val="19"/>
        </w:rPr>
        <w:t>Se evidencia un debate en torno a la transferibilidad de las métricas de rendimiento documentado en la literatura especializada:</w:t>
      </w:r>
    </w:p>
    <w:p>
      <w:pPr>
        <w:spacing w:line="240" w:lineRule="auto" w:before="0" w:after="50"/>
        <w:jc w:val="both"/>
      </w:pPr>
      <w:r>
        <w:rPr>
          <w:rFonts w:ascii="Times New Roman" w:hAnsi="Times New Roman"/>
          <w:b/>
          <w:sz w:val="19"/>
        </w:rPr>
        <w:t xml:space="preserve">a) Rendimiento en bancos de prueba curados de laboratorio: </w:t>
      </w:r>
      <w:r>
        <w:rPr>
          <w:rFonts w:ascii="Times New Roman" w:hAnsi="Times New Roman"/>
          <w:i w:val="0"/>
          <w:sz w:val="19"/>
        </w:rPr>
        <w:t>Diversas evaluaciones experimentales exhiben puntuaciones que sobrepasan sistemáticamente el 97 % de F1-score en el benchmark SROIE bajo condiciones óptimas de iluminación y alineación [4], [6], [20], [67], [96] (Chen L.-C. et al. [4]; Mifsud et al. [6]; Yang X. [20]; Nguyen M.-T. et al. [67]; Cruz &amp; Castelli [96]).</w:t>
      </w:r>
    </w:p>
    <w:p>
      <w:pPr>
        <w:spacing w:line="240" w:lineRule="auto" w:before="0" w:after="50"/>
        <w:jc w:val="both"/>
      </w:pPr>
      <w:r>
        <w:rPr>
          <w:rFonts w:ascii="Times New Roman" w:hAnsi="Times New Roman"/>
          <w:b/>
          <w:sz w:val="19"/>
        </w:rPr>
        <w:t xml:space="preserve">b) Degradación crítica ante documentos del mundo real: </w:t>
      </w:r>
      <w:r>
        <w:rPr>
          <w:rFonts w:ascii="Times New Roman" w:hAnsi="Times New Roman"/>
          <w:i w:val="0"/>
          <w:sz w:val="19"/>
        </w:rPr>
        <w:t>Por el contrario, los trabajos que contrastaron modelos sobre datos corporativos reales constataron caídas de rendimiento de entre 15 y 22 puntos porcentuales (descendiendo hasta un 78.4 % de F1-score) originadas por dobleces físicos, tintas térmicas desvanecidas y fondos ruidosos [15], [37], [53], [79], [108] (Alsayed et al. [15]; Chen Z. et al. [37]; Biesner et al. [53]; Chen Z. et al. [79]; Yeghiazaryan et al. [108]).</w:t>
      </w:r>
    </w:p>
    <w:p>
      <w:pPr>
        <w:spacing w:line="240" w:lineRule="auto" w:before="0" w:after="80"/>
        <w:jc w:val="both"/>
      </w:pPr>
      <w:r>
        <w:rPr>
          <w:rFonts w:ascii="Times New Roman" w:hAnsi="Times New Roman"/>
          <w:b/>
          <w:sz w:val="19"/>
        </w:rPr>
        <w:t xml:space="preserve">c) Carencia de métricas estandarizadas de latencia bajo estrés operativo: </w:t>
      </w:r>
      <w:r>
        <w:rPr>
          <w:rFonts w:ascii="Times New Roman" w:hAnsi="Times New Roman"/>
          <w:i w:val="0"/>
          <w:sz w:val="19"/>
        </w:rPr>
        <w:t>A su vez, diversas investigaciones destacan que los benchmarks académicos suelen limitarse a evaluar F1-scores estáticos, omitiendo reportar el consumo de memoria RAM y la latencia bajo concurrencia transaccional [12], [64], [112] (Iqbal et al. [12]; Oral et al. [64]; Tata et al. [112]).</w:t>
      </w:r>
    </w:p>
    <w:p>
      <w:pPr>
        <w:spacing w:line="240" w:lineRule="auto" w:before="0" w:after="80"/>
        <w:jc w:val="both"/>
      </w:pPr>
      <w:r>
        <w:rPr>
          <w:rFonts w:ascii="Times New Roman" w:hAnsi="Times New Roman"/>
          <w:b/>
          <w:sz w:val="19"/>
        </w:rPr>
        <w:t xml:space="preserve">4) Cierre, Madurez y Sensibilidad: </w:t>
      </w:r>
      <w:r>
        <w:rPr>
          <w:rFonts w:ascii="Times New Roman" w:hAnsi="Times New Roman"/>
          <w:i w:val="0"/>
          <w:sz w:val="19"/>
        </w:rPr>
        <w:t>El rendimiento de los modelos IDP es altamente dependiente del contraste visual del documento y la regularidad del diseño. Al ejecutar el análisis de sensibilidad excluyendo los 10 estudios con QA = 3.5, se constata que ninguno de ellos integra la partición cuantitativa de PI2 (intersección vacía, retención íntegra de los 117 estudios). Por consiguiente, la muestra se mantiene intacta en 117 estudios y la mediana de F1-score en facturación comercial (SROIE) permanece inalterada en 95.2 % (0.0 % de variación; rango [86.4 %–98.7 %]), confirmando que las métricas técnicas reportadas son totalmente inmunes a la literatura de menor rigor metodológico.</w:t>
      </w:r>
    </w:p>
    <w:p>
      <w:pPr>
        <w:keepNext/>
        <w:spacing w:before="160" w:after="40"/>
        <w:jc w:val="left"/>
      </w:pPr>
      <w:r>
        <w:rPr>
          <w:rFonts w:ascii="Times New Roman" w:hAnsi="Times New Roman"/>
          <w:b/>
          <w:i/>
          <w:sz w:val="19"/>
        </w:rPr>
        <w:t>H. Comparativa de Eficiencia vs. Métodos Tradicionales — Síntesis SWiM (PI3)</w:t>
      </w:r>
    </w:p>
    <w:p>
      <w:pPr>
        <w:spacing w:line="240" w:lineRule="auto" w:before="0" w:after="80"/>
        <w:jc w:val="both"/>
      </w:pPr>
      <w:r>
        <w:rPr>
          <w:rFonts w:ascii="Times New Roman" w:hAnsi="Times New Roman"/>
          <w:i w:val="0"/>
          <w:sz w:val="19"/>
        </w:rPr>
        <w:t>Para evaluar si las arquitecturas de IA superan fehacientemente al ingreso manual y al OCR convencional basado en plantillas, se implementó el método SWiM (Synthesis Without Meta-analysis) de Campbell et al. (2020) [137] mediante el conteo formal de votos sobre la dirección del efecto en los 82 estudios que incorporan un comparador explícito (62.6 % del corpus). La determinación bajo protocolo de fiabilidad test-retest ciego de la dirección del voto en SWiM sobre la muestra del 20.6 % (n = 27 estudios) reportó un coeficiente Kappa de Cohen κ = 0.86 (Po = 92.6 %, Pe = 0.470), confirmando un consenso metodológico casi perfecto para la síntesis comparativa. Los resultados se presentan en la TABLA XX y la Fig. 8.</w:t>
      </w:r>
    </w:p>
    <w:p>
      <w:pPr>
        <w:keepNext/>
        <w:spacing w:before="140" w:after="20"/>
        <w:jc w:val="center"/>
      </w:pPr>
      <w:r>
        <w:rPr>
          <w:rFonts w:ascii="Times New Roman" w:hAnsi="Times New Roman"/>
          <w:b/>
          <w:sz w:val="16"/>
        </w:rPr>
        <w:t>TABLA XX</w:t>
        <w:br/>
      </w:r>
      <w:r>
        <w:rPr>
          <w:rFonts w:ascii="Times New Roman" w:hAnsi="Times New Roman"/>
          <w:sz w:val="16"/>
        </w:rPr>
        <w:t>SÍNTESIS SWIM: CONTEO DE VOTOS DE DIRECCIÓN DEL EFECTO FRENTE A LÍNEAS BASE TRADICIONALES (PI3) (N = 82)</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Dimensión Operativa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Dirección del Efecto</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Criterio Empírico de Clasificación</w:t>
            </w:r>
          </w:p>
        </w:tc>
        <w:tc>
          <w:tcPr>
            <w:tcW w:type="dxa" w:w="24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Estudios Primarios Asignados [n]</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Votos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 Relativo</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Tiempo de Procesamiento y Latencia</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Mejora (+1)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Reducción de tiempo de ciclo &gt;= 60 % frente a digitación manual u OCR de plantillas.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[3]–[27], [29]–[36], [38]–[44], [46]–[53], [55], [57]–[63], [67], [76], [79]–[81], [87], [89], [94], [97], [101]–[103], [113], [116], [127]</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71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86.6 %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Exactitud y Tasa de Error</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Sin diferencia (0)</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Paridad de exactitud o ganancia marginal &lt;= 2 % en documentos altamente estandarizados.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[28], [45], [54], [64], [86], [98], [112], [128]</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9.8 %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Carga Operativa y Escalabilidad</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Empeora (-1)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Mayor latencia o costo computacional en hardware restringido; re-trabajo por alucinaciones.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[37], [56], [121]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3.7 %</w:t>
            </w:r>
          </w:p>
        </w:tc>
      </w:tr>
      <w:tr>
        <w:trPr>
          <w:cantSplit/>
        </w:trPr>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Evidencia Comparativa PI3</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Subconjunto verificado de estudios con PI3 = 1</w:t>
            </w:r>
          </w:p>
        </w:tc>
        <w:tc>
          <w:tcPr>
            <w:tcW w:type="dxa" w:w="244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[3]–[128] (82 estudios únicos)</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82</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Fuente: elaboración propia a partir del corpus primario [3]–[133]. Conteo de votos estructurado según directrices SWiM [137].</w:t>
      </w:r>
    </w:p>
    <w:p>
      <w:pPr>
        <w:keepNext/>
        <w:spacing w:before="120" w:after="40"/>
        <w:jc w:val="center"/>
      </w:pPr>
      <w:r>
        <w:drawing>
          <wp:inline xmlns:a="http://schemas.openxmlformats.org/drawingml/2006/main" xmlns:pic="http://schemas.openxmlformats.org/drawingml/2006/picture">
            <wp:extent cx="3063240" cy="1257102"/>
            <wp:docPr id="8" name="Picture 8"/>
            <wp:cNvGraphicFramePr>
              <a:graphicFrameLocks noChangeAspect="1"/>
            </wp:cNvGraphicFramePr>
            <a:graphic>
              <a:graphicData uri="http://schemas.openxmlformats.org/drawingml/2006/picture">
                <pic:pic>
                  <pic:nvPicPr>
                    <pic:cNvPr id="0" name="fig8_swim_barras_divergentes.png"/>
                    <pic:cNvPicPr/>
                  </pic:nvPicPr>
                  <pic:blipFill>
                    <a:blip r:embed="rId16"/>
                    <a:stretch>
                      <a:fillRect/>
                    </a:stretch>
                  </pic:blipFill>
                  <pic:spPr>
                    <a:xfrm>
                      <a:off x="0" y="0"/>
                      <a:ext cx="3063240" cy="1257102"/>
                    </a:xfrm>
                    <a:prstGeom prst="rect"/>
                  </pic:spPr>
                </pic:pic>
              </a:graphicData>
            </a:graphic>
          </wp:inline>
        </w:drawing>
      </w:r>
    </w:p>
    <w:p>
      <w:pPr>
        <w:spacing w:before="40" w:after="120"/>
        <w:jc w:val="both"/>
      </w:pPr>
      <w:r>
        <w:rPr>
          <w:rFonts w:ascii="Times New Roman" w:hAnsi="Times New Roman"/>
          <w:b/>
          <w:sz w:val="17"/>
        </w:rPr>
        <w:t xml:space="preserve">Fig. 8. </w:t>
      </w:r>
      <w:r>
        <w:rPr>
          <w:rFonts w:ascii="Times New Roman" w:hAnsi="Times New Roman"/>
          <w:sz w:val="17"/>
        </w:rPr>
        <w:t xml:space="preserve">Síntesis SWiM: Conteo de Votos de Efecto Frente a Métodos Tradicionales (PI3, n = 82). </w:t>
      </w:r>
      <w:r>
        <w:rPr>
          <w:rFonts w:ascii="Times New Roman" w:hAnsi="Times New Roman"/>
          <w:sz w:val="16"/>
        </w:rPr>
        <w:t xml:space="preserve">Gráfico de barras divergentes: Verde: Mejora (+1); Naranja: Paridad (0); Rojo: Empeora/Mayor costo (-1). Sincronización idéntica con TABLA XX (+71, 8, -3).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PI3): </w:t>
      </w:r>
      <w:r>
        <w:rPr>
          <w:rFonts w:ascii="Times New Roman" w:hAnsi="Times New Roman"/>
          <w:i w:val="0"/>
          <w:sz w:val="19"/>
        </w:rPr>
        <w:t>Ochenta y dos estudios primarios (62.6 % del corpus; TABLA XX, Fig. 8) contrastaron directamente las soluciones de IA e IDP frente a métodos manuales o sistemas convencionales de reglas (PI3). Aplicando la síntesis SWiM y conteo de votos de Campbell et al. [137], con un acuerdo de fiabilidad test-retest de κ = 0.86, se identificó un consenso empírico abrumador a favor de la IA, con un 86.6 % de votos favorables (71 de 82 estudios) que reportan mejoras estadísticamente significativas en velocidad, precisión y reducción de costos operativos frente al ingreso manual y al OCR de plantillas.</w:t>
      </w:r>
    </w:p>
    <w:p>
      <w:pPr>
        <w:spacing w:line="240" w:lineRule="auto" w:before="0" w:after="80"/>
        <w:jc w:val="both"/>
      </w:pPr>
      <w:r>
        <w:rPr>
          <w:rFonts w:ascii="Times New Roman" w:hAnsi="Times New Roman"/>
          <w:b/>
          <w:sz w:val="19"/>
        </w:rPr>
        <w:t xml:space="preserve">2.1. Reducción del Tiempo de Procesamiento y Latencia Operativa (Mejora +1): </w:t>
      </w:r>
      <w:r>
        <w:rPr>
          <w:rFonts w:ascii="Times New Roman" w:hAnsi="Times New Roman"/>
          <w:i w:val="0"/>
          <w:sz w:val="19"/>
        </w:rPr>
        <w:t>Esta dimensión evalúa la aceleración del tiempo de ciclo extremo a extremo lograda por las soluciones basadas en IA en comparación directa con los tiempos requeridos por la digitación manual y los sistemas OCR clásicos basados en plantillas rígidas. Concentra setenta y un estudios primarios (86.6 % de PI3; [3]–[27], [29]–[36], [38]–[44], [46]–[53], [55], [57]–[63], [67], [76], [79]–[81], [87], [89], [94], [97], [101]–[103], [113], [116], [127]). Los análisis cuantitativos demuestran de forma categórica que la automatización neuronal reduce el tiempo de ciclo en magnitudes que oscilan entre el 60 % y el 95 %, transformando procesos contables de días a segundos [3], [5], [11], [16], [39], [67], [80], [101]. La media de reducción de tiempo de procesamiento reportada alcanzó el 82.4 %, pasando de una media de 180 segundos por documento manual a menos de 1.2 segundos mediante IA. El 97.2 % de los estudios (69 de 71) ostenta calidad metodológica alta (QA &gt;= 4.5), confiriendo un dictamen de Alta Certeza GRADE-CERQual para la ganancia en velocidad transaccional.</w:t>
      </w:r>
    </w:p>
    <w:p>
      <w:pPr>
        <w:spacing w:line="240" w:lineRule="auto" w:before="0" w:after="80"/>
        <w:jc w:val="both"/>
      </w:pPr>
      <w:r>
        <w:rPr>
          <w:rFonts w:ascii="Times New Roman" w:hAnsi="Times New Roman"/>
          <w:b/>
          <w:sz w:val="19"/>
        </w:rPr>
        <w:t xml:space="preserve">2.2. Paridad de Rendimiento en Formatos Rígidos y Estandarizados (Sin Diferencia 0): </w:t>
      </w:r>
      <w:r>
        <w:rPr>
          <w:rFonts w:ascii="Times New Roman" w:hAnsi="Times New Roman"/>
          <w:i w:val="0"/>
          <w:sz w:val="19"/>
        </w:rPr>
        <w:t>Esta condición clasifica las situaciones operativas en las que las soluciones de IA compleja no ofrecen ventajas estadísticamente significativas frente a algoritmos tradicionales de coincidencia de patrones (regex) y OCR de plantillas estáticas sobre documentos de diseño inalterable. Reúne ocho estudios primarios (9.8 % de PI3; [28], [45], [54], [64], [86], [98], [112], [128]). Las evidencias muestran que cuando los documentos corporativos conservan una geometría idéntica y alta resolución de escaneo, las reglas deterministas alcanzan precisiones idénticas a los modelos neuronales con un consumo de recursos computacionales sustancialmente menor [28], [45], [54], [64], [86], [112]. La diferencia observada en F1-score fue marginal e inferior al 1.8 % (e.g. 98.2 % en reglas frente a 98.6 % en IA), consumiendo hasta diez veces menos memoria RAM. El 87.5 % de las investigaciones (7 de 8) posee calidad metodológica alta (QA &gt;= 4.5), sustentando una certeza GRADE-CERQual Alta para la idoneidad de reglas tradicionales en comprobantes estáticos cerrados.</w:t>
      </w:r>
    </w:p>
    <w:p>
      <w:pPr>
        <w:spacing w:line="240" w:lineRule="auto" w:before="0" w:after="80"/>
        <w:jc w:val="both"/>
      </w:pPr>
      <w:r>
        <w:rPr>
          <w:rFonts w:ascii="Times New Roman" w:hAnsi="Times New Roman"/>
          <w:b/>
          <w:sz w:val="19"/>
        </w:rPr>
        <w:t xml:space="preserve">2.3. Escenarios de Sobrecosto y Carga Operativa Desfavorable (Empeora -1): </w:t>
      </w:r>
      <w:r>
        <w:rPr>
          <w:rFonts w:ascii="Times New Roman" w:hAnsi="Times New Roman"/>
          <w:i w:val="0"/>
          <w:sz w:val="19"/>
        </w:rPr>
        <w:t>Esta condición agrupa los casos en los que la introducción de arquitecturas de IA generó efectos negativos o contraproducentes frente a los flujos tradicionales, originados por excesiva latencia en hardware restringido o re-trabajo derivado de alucinaciones en campos críticos. Abarca tres estudios primarios (3.7 % de PI3; [37], [56], [121]). Los autores advierten que el despliegue de modelos multimodales de gran tamaño en servidores sin tarjetas de aceleración gráfica GPU genera tiempos de espera inaceptables para la atención presencial, y que la presencia de montos numéricos inventados por LLMs exige una auditoría humana al 100 % [37], [56], [121]. Se constató un incremento del 220 % en el costo de infraestructura en la nube o un incremento en el tiempo de validación de hasta 3 minutos adicionales por factura alucinada. Dos de los tres estudios (66.7 %, 2 de 3) se ubican en estrato de calidad alta (QA &gt;= 4.5) y uno en calidad moderada ([121], QA = 3.5), asignándose una calificación de Moderada Certeza GRADE-CERQual debido a la vulnerabilidad metodológica del criterio QA5 en este estrato.</w:t>
      </w:r>
    </w:p>
    <w:p>
      <w:pPr>
        <w:spacing w:line="240" w:lineRule="auto" w:before="0" w:after="50"/>
        <w:jc w:val="both"/>
      </w:pPr>
      <w:r>
        <w:rPr>
          <w:rFonts w:ascii="Times New Roman" w:hAnsi="Times New Roman"/>
          <w:b/>
          <w:sz w:val="19"/>
        </w:rPr>
        <w:t xml:space="preserve">3) Contrastes y Debates Operativos: </w:t>
      </w:r>
      <w:r>
        <w:rPr>
          <w:rFonts w:ascii="Times New Roman" w:hAnsi="Times New Roman"/>
          <w:i w:val="0"/>
          <w:sz w:val="19"/>
        </w:rPr>
        <w:t>El debate fundamental en torno a la relación costo-beneficio de la IA se polariza en tres vertientes contrastadas:</w:t>
      </w:r>
    </w:p>
    <w:p>
      <w:pPr>
        <w:spacing w:line="240" w:lineRule="auto" w:before="0" w:after="50"/>
        <w:jc w:val="both"/>
      </w:pPr>
      <w:r>
        <w:rPr>
          <w:rFonts w:ascii="Times New Roman" w:hAnsi="Times New Roman"/>
          <w:b/>
          <w:sz w:val="19"/>
        </w:rPr>
        <w:t xml:space="preserve">a) Ahorro masivo y amortización en grandes volúmenes: </w:t>
      </w:r>
      <w:r>
        <w:rPr>
          <w:rFonts w:ascii="Times New Roman" w:hAnsi="Times New Roman"/>
          <w:i w:val="0"/>
          <w:sz w:val="19"/>
        </w:rPr>
        <w:t>Investigaciones aplicadas defienden que la automatización neuronal reduce drásticamente las horas-hombre y amortiza los costos de software en centros de servicios compartidos corporativos [4], [11], [16], [67], [80] (Chen L.-C. et al. [4]; Xiao et al. [11]; Saeed et al. [16]; Nguyen M.-T. et al. [67]; Yang Z. et al. [80]).</w:t>
      </w:r>
    </w:p>
    <w:p>
      <w:pPr>
        <w:spacing w:line="240" w:lineRule="auto" w:before="0" w:after="50"/>
        <w:jc w:val="both"/>
      </w:pPr>
      <w:r>
        <w:rPr>
          <w:rFonts w:ascii="Times New Roman" w:hAnsi="Times New Roman"/>
          <w:b/>
          <w:sz w:val="19"/>
        </w:rPr>
        <w:t xml:space="preserve">b) Suficiencia y ventaja económica de reglas fijas en catálogos acotados: </w:t>
      </w:r>
      <w:r>
        <w:rPr>
          <w:rFonts w:ascii="Times New Roman" w:hAnsi="Times New Roman"/>
          <w:i w:val="0"/>
          <w:sz w:val="19"/>
        </w:rPr>
        <w:t>En marcado contraste, diversos autores demuestran que para organizaciones con proveedores estandarizados (&lt;5,000 documentos mensuales), las plantillas basadas en expresiones regulares y OCR clásico tienen costo de mantenimiento casi nulo y cero consumo de GPU, superando económicamente a los modelos neuronales [28], [45], [54], [64], [112] (Liu Z. [28]; Guha et al. [45]; Kim C.-Y. et al. [54]; Oral et al. [64]; Tata et al. [112]).</w:t>
      </w:r>
    </w:p>
    <w:p>
      <w:pPr>
        <w:spacing w:line="240" w:lineRule="auto" w:before="0" w:after="80"/>
        <w:jc w:val="both"/>
      </w:pPr>
      <w:r>
        <w:rPr>
          <w:rFonts w:ascii="Times New Roman" w:hAnsi="Times New Roman"/>
          <w:b/>
          <w:sz w:val="19"/>
        </w:rPr>
        <w:t xml:space="preserve">c) Sobrecosto de infraestructura y re-trabajo por alucinación: </w:t>
      </w:r>
      <w:r>
        <w:rPr>
          <w:rFonts w:ascii="Times New Roman" w:hAnsi="Times New Roman"/>
          <w:i w:val="0"/>
          <w:sz w:val="19"/>
        </w:rPr>
        <w:t>Por su parte, evaluaciones en contextos financieros y tributarios advierten que cuando el margen de tolerancia a errores es cero, la necesidad de auditar manualmente las alucinaciones de modelos generativos encarece el flujo total frente a operadores entrenados [37], [56], [121] (Chen Z. et al. [37]; Chen Y. et al. [56]; Lai P. et al. [121]).</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superioridad técnica de la IA sobre el ingreso manual es incontestable en grandes volúmenes de documentos semiestructurados. Al aplicar el análisis de sensibilidad excluyendo los 4 estudios con QA = 3.5 que reportaron comparaciones ([116], [121], [127], [128]), quedan 69 de 78 en Mejora (88.5 %, variación de +1.9 %), 7 de 78 en Paridad (9.0 %, se excluye [128]) y 2 de 78 en Desfavorables (2.6 %, se excluye [121]), reafirmando la estabilidad absoluta del veredicto comparativo.</w:t>
      </w:r>
    </w:p>
    <w:p>
      <w:pPr>
        <w:keepNext/>
        <w:spacing w:before="160" w:after="40"/>
        <w:jc w:val="left"/>
      </w:pPr>
      <w:r>
        <w:rPr>
          <w:rFonts w:ascii="Times New Roman" w:hAnsi="Times New Roman"/>
          <w:b/>
          <w:i/>
          <w:sz w:val="19"/>
        </w:rPr>
        <w:t>I. Mapeo de Tipologías Documentales y Sistemas Corporativos ERP/CRM (PI4)</w:t>
      </w:r>
    </w:p>
    <w:p>
      <w:pPr>
        <w:spacing w:line="240" w:lineRule="auto" w:before="0" w:after="80"/>
        <w:jc w:val="both"/>
      </w:pPr>
      <w:r>
        <w:rPr>
          <w:rFonts w:ascii="Times New Roman" w:hAnsi="Times New Roman"/>
          <w:i w:val="0"/>
          <w:sz w:val="19"/>
        </w:rPr>
        <w:t>Para determinar qué tipologías documentales y qué plataformas empresariales de gestión han sido abordadas en la literatura, se ejecutó un mapeo temático matricial sobre la totalidad del corpus primario (N = 131 estudios, 100.0 % de cobertura). La categorización documental y el mapeo hacia plataformas corporativas evaluada por protocolo test-retest ciego sobre la muestra del 20.6 % (n = 27 estudios) reportó un coeficiente Kappa de Cohen κ = 0.87 (Po = 92.6 %, Pe = 0.430), certificando la consistencia taxonómica de la matriz de integración bajo el Checklist 9.2.F. La matriz cruzada se documenta en la TABLA XXI y la matriz de calor (heatmap) se expone en la Fig. 9.</w:t>
      </w:r>
    </w:p>
    <w:p>
      <w:pPr>
        <w:keepNext/>
        <w:spacing w:before="140" w:after="20"/>
        <w:jc w:val="center"/>
      </w:pPr>
      <w:r>
        <w:rPr>
          <w:rFonts w:ascii="Times New Roman" w:hAnsi="Times New Roman"/>
          <w:b/>
          <w:sz w:val="16"/>
        </w:rPr>
        <w:t>TABLA XXI</w:t>
        <w:br/>
      </w:r>
      <w:r>
        <w:rPr>
          <w:rFonts w:ascii="Times New Roman" w:hAnsi="Times New Roman"/>
          <w:sz w:val="16"/>
        </w:rPr>
        <w:t>MAPEO DE TIPOLOGÍAS DOCUMENTALES Y SISTEMAS EMPRESARIALES DE INTEGRACIÓN (PI4) (N = 131)</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Tipología Documental</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Definición Operativa</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Plataformas Integradas / Mapeadas</w:t>
            </w:r>
          </w:p>
        </w:tc>
        <w:tc>
          <w:tcPr>
            <w:tcW w:type="dxa" w:w="10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Estudios Primarios Indexados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Balances y Tablas Financieras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Estructuras matriciales, estados de resultados y libros mayores contables.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Sistemas ERP (SAP, Oracle Financials) y Motores de Base de Datos Relacional / SQL.</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[3], [5], [7], [8], [10]–[13], [16], [17], [19], [20], [23], [25], [27], [31], [33], [35], [36], [41], [42], [45]–[54], [57], [59], [61], [62], [65], [66], [68], [71], [74], [81], [87], [94], [95], [101], [103]–[106], [113], [120], [123], [124], [126]–[128], [130], [131], [133]</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59</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45.0 %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Facturas Comerciales y Fiscales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Facturas de compra/venta, comprobantes fiscales y facturas proforma.</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Módulos Cuentas por Pagar en ERP (SAP S/4HANA, Dynamics 365, Odoo).</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[4], [24], [28], [34], [38]–[40], [43], [44], [55], [60], [64], [69], [72], [75], [76], [86], [88]–[90], [96]–[100], [107]–[109], [112], [115], [119], [121], [129], [132]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26.0 %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Formularios y Expedientes Admin.</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Formularios aduaneros, solicitudes de crédito, pólizas y notas de remisión.</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Sistemas CRM (Salesforce) y Gestión Documental DMS (Alfresco, SharePoint).</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[14], [18], [21], [22], [26], [29], [32], [56], [58], [63], [67], [70], [73], [77], [78], [80], [85], [92], [93], [110], [111], [114], [116]–[118], [122]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19.8 %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Recibos y Tickets POS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Tickets de gastos de viaje, recibos térmicos y tickets de caja chica.</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Módulos Rendición de Gastos ERP y Sistemas POS (Point of Sale).</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 [9], [15], [30], [37], [79], [82]–[84], [91], [102], [125]</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9.2 %</w:t>
            </w:r>
          </w:p>
        </w:tc>
      </w:tr>
      <w:tr>
        <w:trPr>
          <w:cantSplit/>
        </w:trPr>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Corpus Primario</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w:t>
            </w:r>
          </w:p>
        </w:tc>
        <w:tc>
          <w:tcPr>
            <w:tcW w:type="dxa" w:w="10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[3]–[133] (131 estudios únicos)</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131</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r>
    </w:tbl>
    <w:p>
      <w:pPr>
        <w:spacing w:before="40" w:after="120"/>
        <w:jc w:val="left"/>
      </w:pPr>
      <w:r>
        <w:rPr>
          <w:rFonts w:ascii="Times New Roman" w:hAnsi="Times New Roman"/>
          <w:i/>
          <w:sz w:val="16"/>
        </w:rPr>
        <w:t>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425659"/>
            <wp:docPr id="9" name="Picture 9"/>
            <wp:cNvGraphicFramePr>
              <a:graphicFrameLocks noChangeAspect="1"/>
            </wp:cNvGraphicFramePr>
            <a:graphic>
              <a:graphicData uri="http://schemas.openxmlformats.org/drawingml/2006/picture">
                <pic:pic>
                  <pic:nvPicPr>
                    <pic:cNvPr id="0" name="fig9_heatmap_documentos_erp.png"/>
                    <pic:cNvPicPr/>
                  </pic:nvPicPr>
                  <pic:blipFill>
                    <a:blip r:embed="rId17"/>
                    <a:stretch>
                      <a:fillRect/>
                    </a:stretch>
                  </pic:blipFill>
                  <pic:spPr>
                    <a:xfrm>
                      <a:off x="0" y="0"/>
                      <a:ext cx="3063240" cy="1425659"/>
                    </a:xfrm>
                    <a:prstGeom prst="rect"/>
                  </pic:spPr>
                </pic:pic>
              </a:graphicData>
            </a:graphic>
          </wp:inline>
        </w:drawing>
      </w:r>
    </w:p>
    <w:p>
      <w:pPr>
        <w:spacing w:before="40" w:after="120"/>
        <w:jc w:val="both"/>
      </w:pPr>
      <w:r>
        <w:rPr>
          <w:rFonts w:ascii="Times New Roman" w:hAnsi="Times New Roman"/>
          <w:b/>
          <w:sz w:val="17"/>
        </w:rPr>
        <w:t xml:space="preserve">Fig. 9. </w:t>
      </w:r>
      <w:r>
        <w:rPr>
          <w:rFonts w:ascii="Times New Roman" w:hAnsi="Times New Roman"/>
          <w:sz w:val="17"/>
        </w:rPr>
        <w:t xml:space="preserve">Mapeo Cruzado: Tipología Documental × Plataforma Empresarial (PI4, N = 131). </w:t>
      </w:r>
      <w:r>
        <w:rPr>
          <w:rFonts w:ascii="Times New Roman" w:hAnsi="Times New Roman"/>
          <w:sz w:val="16"/>
        </w:rPr>
        <w:t xml:space="preserve">Matriz de calor que representa la frecuencia de estudios primarios mapeados.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PI4): </w:t>
      </w:r>
      <w:r>
        <w:rPr>
          <w:rFonts w:ascii="Times New Roman" w:hAnsi="Times New Roman"/>
          <w:i w:val="0"/>
          <w:sz w:val="19"/>
        </w:rPr>
        <w:t>Ciento treinta y un artículos (100.0 % del corpus; TABLA XXI, Fig. 9) respondieron a la relación entre las tipologías documentales procesadas y los sistemas corporativos de destino (PI4). Mediante síntesis temática y mapeo matricial con un índice de fiabilidad test-retest de κ = 0.87, se determinó una fuerte polarización de la literatura hacia tablas contables financieras (45.0 %) y facturas comerciales (26.0 %) conectadas conceptualmente con sistemas ERP, existiendo una menor penetración en flujos documentales de atención al cliente en plataformas CRM.</w:t>
      </w:r>
    </w:p>
    <w:p>
      <w:pPr>
        <w:spacing w:line="240" w:lineRule="auto" w:before="0" w:after="80"/>
        <w:jc w:val="both"/>
      </w:pPr>
      <w:r>
        <w:rPr>
          <w:rFonts w:ascii="Times New Roman" w:hAnsi="Times New Roman"/>
          <w:b/>
          <w:sz w:val="19"/>
        </w:rPr>
        <w:t xml:space="preserve">2.1. Balances, Tablas y Reportes Financieros Complejos: </w:t>
      </w:r>
      <w:r>
        <w:rPr>
          <w:rFonts w:ascii="Times New Roman" w:hAnsi="Times New Roman"/>
          <w:i w:val="0"/>
          <w:sz w:val="19"/>
        </w:rPr>
        <w:t>Esta tipología comprende documentos con estructuras matriciales densas, estados de situación financiera, balances contables de comprobación y libros mayores compuestos por celdas anidadas y columnas financieras multinivel. Concentra cincuenta y nueve estudios primarios (45.0 % del corpus total; [3], [5], [7], [8], [10]–[13], [16], [17], [19], [20], [23], [25], [27], [31], [33], [35], [36], [41], [42], [45]–[54], [57], [59], [61], [62], [65], [66], [68], [71], [74], [81], [87], [94], [95], [101], [103]–[106], [113], [120], [123], [124], [126]–[128], [130], [131], [133]). Las investigaciones destacan que la validación y estructuración de tablas numéricas resulta indispensable para la carga automática de asientos contables en bases de datos relacionales y módulos financieros centrales de sistemas ERP [5], [11], [19], [41], [51], [65], [105], [120]. El 72.9 % de los estudios evalúa métricas sobre el benchmark FinTabNet o balances anuales auditados, alcanzando tasas de acierto en el orden del 89.8 % en reconstrucción matricial. El 84.7 % de los manuscritos (50 de 59) corresponde al estrato de calidad alta (QA &gt;= 4.5), confiriendo un nivel de Alta Certeza GRADE-CERQual para el procesamiento de tablas financieras.</w:t>
      </w:r>
    </w:p>
    <w:p>
      <w:pPr>
        <w:spacing w:line="240" w:lineRule="auto" w:before="0" w:after="80"/>
        <w:jc w:val="both"/>
      </w:pPr>
      <w:r>
        <w:rPr>
          <w:rFonts w:ascii="Times New Roman" w:hAnsi="Times New Roman"/>
          <w:b/>
          <w:sz w:val="19"/>
        </w:rPr>
        <w:t xml:space="preserve">2.2. Facturas Comerciales y Fiscales de Proveedores: </w:t>
      </w:r>
      <w:r>
        <w:rPr>
          <w:rFonts w:ascii="Times New Roman" w:hAnsi="Times New Roman"/>
          <w:i w:val="0"/>
          <w:sz w:val="19"/>
        </w:rPr>
        <w:t>Esta categoría documental abarca comprobantes fiscales de compra y venta, facturas comerciales emitidas o recibidas de terceros y notas de débito orientadas a la verificación tributaria y conciliación de pagos. Agrupa a treinta y cuatro estudios primarios (26.0 % del corpus; [4], [24], [28], [34], [38]–[40], [43], [44], [55], [60], [64], [69], [72], [75], [76], [86], [88]–[90], [96]–[100], [107]–[109], [112], [115], [119], [121], [129], [132]). Los autores demuestran que las facturas constituyen el principal motor de ahorro en departamentos de Cuentas por Pagar (Accounts Payable), siendo su destino natural la conciliación de tres vías en ERPs como SAP S/4HANA o Oracle Financials [4], [24], [34], [60], [64], [72], [96], [108]. Representan el foco de mayor automatización exitosa con una tasa de extracción de campos obligatorios superior al 94.5 % en condiciones controladas. El 85.3 % de las investigaciones (29 de 34) posee calidad alta (QA &gt;= 4.5), otorgando una calificación de Alta Certeza GRADE-CERQual en la captura de metadatos de facturación.</w:t>
      </w:r>
    </w:p>
    <w:p>
      <w:pPr>
        <w:spacing w:line="240" w:lineRule="auto" w:before="0" w:after="80"/>
        <w:jc w:val="both"/>
      </w:pPr>
      <w:r>
        <w:rPr>
          <w:rFonts w:ascii="Times New Roman" w:hAnsi="Times New Roman"/>
          <w:b/>
          <w:sz w:val="19"/>
        </w:rPr>
        <w:t xml:space="preserve">2.3. Formularios, Pólizas y Expedientes Administrativos: </w:t>
      </w:r>
      <w:r>
        <w:rPr>
          <w:rFonts w:ascii="Times New Roman" w:hAnsi="Times New Roman"/>
          <w:i w:val="0"/>
          <w:sz w:val="19"/>
        </w:rPr>
        <w:t>Esta clase documental agrupa instrumentos administrativos complejos tales como solicitudes de crédito bancario, declaraciones aduaneras de importación, pólizas de seguros y expedientes de recursos humanos con diagramación semifija. Reúne veintiséis estudios primarios (19.8 % del corpus; [14], [18], [21], [22], [26], [29], [32], [56], [58], [63], [67], [70], [73], [77], [78], [80], [85], [92], [93], [110], [111], [114], [116]–[118], [122]). Las investigaciones señalan que la gran heterogeneidad de campos abiertos y el uso extensivo de texto libre exige la integración de estos expedientes en repositorios de gestión documental (DMS como SharePoint o Alfresco) y sistemas CRM [14], [22], [58], [70], [80], [93], [110]. La exactitud en el reconocimiento de entidades se sitúa en un rango empírico entre el 80.5 % y el 91.0 % debido a la dispersión de sellos y firmas. El 69.2 % de los estudios (18 de 26) exhibe calidad metodológica alta (QA &gt;= 4.5), respaldando un dictamen de certeza GRADE-CERQual Moderada debido a la variabilidad regulatoria entre países.</w:t>
      </w:r>
    </w:p>
    <w:p>
      <w:pPr>
        <w:spacing w:line="240" w:lineRule="auto" w:before="0" w:after="80"/>
        <w:jc w:val="both"/>
      </w:pPr>
      <w:r>
        <w:rPr>
          <w:rFonts w:ascii="Times New Roman" w:hAnsi="Times New Roman"/>
          <w:b/>
          <w:sz w:val="19"/>
        </w:rPr>
        <w:t xml:space="preserve">2.4. Recibos de Caja Menor y Tickets de Punto de Venta (POS): </w:t>
      </w:r>
      <w:r>
        <w:rPr>
          <w:rFonts w:ascii="Times New Roman" w:hAnsi="Times New Roman"/>
          <w:i w:val="0"/>
          <w:sz w:val="19"/>
        </w:rPr>
        <w:t>Esta categoría abarca comprobantes de pago de bajo valor, tickets de papel térmico, comprobantes de peaje y recibos emitidos por terminales de punto de venta utilizados para la rendición de fondos corporativos. Comprende doce estudios primarios (9.2 % del corpus; [6], [9], [15], [30], [37], [79], [82]–[84], [91], [102], [125]). La literatura reporta que su digitalización vía dispositivos móviles facilita la rendición automática de gastos de viaje hacia módulos de nómina y tesorería en sistemas ERP [6], [9], [15], [30], [82], [102]. La tasa de éxito en extracción de total y fecha promedia un 93.5 %, si bien sufren degradaciones severas por desgaste térmico o baja iluminación de captura. El 91.7 % de los estudios (11 de 12) se encuentra en el rango de calidad alta (QA &gt;= 4.5), clasificándose con Alta Certeza GRADE-CERQual para tickets estandarizados y Moderada en capturas móviles de baja resolución.</w:t>
      </w:r>
    </w:p>
    <w:p>
      <w:pPr>
        <w:spacing w:line="240" w:lineRule="auto" w:before="0" w:after="50"/>
        <w:jc w:val="both"/>
      </w:pPr>
      <w:r>
        <w:rPr>
          <w:rFonts w:ascii="Times New Roman" w:hAnsi="Times New Roman"/>
          <w:b/>
          <w:sz w:val="19"/>
        </w:rPr>
        <w:t xml:space="preserve">3) Contrastes y Brechas en la Integración Transaccional: </w:t>
      </w:r>
      <w:r>
        <w:rPr>
          <w:rFonts w:ascii="Times New Roman" w:hAnsi="Times New Roman"/>
          <w:i w:val="0"/>
          <w:sz w:val="19"/>
        </w:rPr>
        <w:t>Se constata una brecha metodológica profunda entre la visión computacional y la ingeniería transaccional de software:</w:t>
      </w:r>
    </w:p>
    <w:p>
      <w:pPr>
        <w:spacing w:line="240" w:lineRule="auto" w:before="0" w:after="50"/>
        <w:jc w:val="both"/>
      </w:pPr>
      <w:r>
        <w:rPr>
          <w:rFonts w:ascii="Times New Roman" w:hAnsi="Times New Roman"/>
          <w:b/>
          <w:sz w:val="19"/>
        </w:rPr>
        <w:t xml:space="preserve">a) Enfoque restringido a la extracción visual JSON: </w:t>
      </w:r>
      <w:r>
        <w:rPr>
          <w:rFonts w:ascii="Times New Roman" w:hAnsi="Times New Roman"/>
          <w:i w:val="0"/>
          <w:sz w:val="19"/>
        </w:rPr>
        <w:t>La mayor parte de la literatura restringe su alcance a la detección y estructuración de entidades en esquemas JSON, asumiendo implícitamente que la carga hacia el ERP es trivial [8], [10], [41], [51], [61] (Sassioui et al. [8]; Tiwari et al. [10]; Ma C. et al. [41]; Akkaya et al. [51]; Hashmi et al. [61]).</w:t>
      </w:r>
    </w:p>
    <w:p>
      <w:pPr>
        <w:spacing w:line="240" w:lineRule="auto" w:before="0" w:after="50"/>
        <w:jc w:val="both"/>
      </w:pPr>
      <w:r>
        <w:rPr>
          <w:rFonts w:ascii="Times New Roman" w:hAnsi="Times New Roman"/>
          <w:b/>
          <w:sz w:val="19"/>
        </w:rPr>
        <w:t xml:space="preserve">b) Complejidad de la validación transaccional y reglas de negocio: </w:t>
      </w:r>
      <w:r>
        <w:rPr>
          <w:rFonts w:ascii="Times New Roman" w:hAnsi="Times New Roman"/>
          <w:i w:val="0"/>
          <w:sz w:val="19"/>
        </w:rPr>
        <w:t>En contraste, estudios con orientación a la ingeniería de software revelan que sin módulos de validación fiscal de tres vías (Three-Way Matching entre orden de compra, guía de despacho y factura) y control de excepciones transaccionales, las salidas de IA resultan inservibles para auditoría en ERPs productivos [64], [70], [112], [131] (Oral et al. [64]; Feng H. et al. [70]; Tata et al. [112]; Sainz-De-Abajo et al. [131]).</w:t>
      </w:r>
    </w:p>
    <w:p>
      <w:pPr>
        <w:spacing w:line="240" w:lineRule="auto" w:before="0" w:after="80"/>
        <w:jc w:val="both"/>
      </w:pPr>
      <w:r>
        <w:rPr>
          <w:rFonts w:ascii="Times New Roman" w:hAnsi="Times New Roman"/>
          <w:b/>
          <w:sz w:val="19"/>
        </w:rPr>
        <w:t xml:space="preserve">c) Restricciones de soberanía y privacidad de datos financieros: </w:t>
      </w:r>
      <w:r>
        <w:rPr>
          <w:rFonts w:ascii="Times New Roman" w:hAnsi="Times New Roman"/>
          <w:i w:val="0"/>
          <w:sz w:val="19"/>
        </w:rPr>
        <w:t>A su vez, diversas contribuciones señalan las barreras legales que impiden remitir balances confidenciales hacia APIs públicas de la nube, limitando el despliegue a servidores locales dedicados [44], [116], [127] (Manjunath et al. [44]; Tobaben et al. [116]; Azman et al. [127]).</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automatización documental avanza hacia la unificación de pipelines multimodales capaces de procesar tablas y texto indistintamente. Al excluir del análisis los 10 estudios del estrato inferior (QA = 3.5; [116]–[118], [121]–[123], [127], [128], [132], [133]), de los cuales 6 pertenecen al núcleo contable (4 en balances [123], [127], [128], [133] y 2 en facturas [121], [132]), el bloque contable líder pasó de 93 de 131 (71.0 %) a 87 de 121 (71.9 %, variación +0.9 %), ratificando que la concentración en documentos contables y financieros es un hallazgo estructural plenamente robusto.</w:t>
      </w:r>
    </w:p>
    <w:p>
      <w:pPr>
        <w:keepNext/>
        <w:spacing w:before="160" w:after="40"/>
        <w:jc w:val="left"/>
      </w:pPr>
      <w:r>
        <w:rPr>
          <w:rFonts w:ascii="Times New Roman" w:hAnsi="Times New Roman"/>
          <w:b/>
          <w:i/>
          <w:sz w:val="19"/>
        </w:rPr>
        <w:t>J. Análisis de Sensibilidad Global (Paso 8)</w:t>
      </w:r>
    </w:p>
    <w:p>
      <w:pPr>
        <w:spacing w:line="240" w:lineRule="auto" w:before="0" w:after="80"/>
        <w:jc w:val="both"/>
      </w:pPr>
      <w:r>
        <w:rPr>
          <w:rFonts w:ascii="Times New Roman" w:hAnsi="Times New Roman"/>
          <w:i w:val="0"/>
          <w:sz w:val="19"/>
        </w:rPr>
        <w:t>Para comprobar de manera concluyente si los hallazgos principales dependen de la inclusión de estudios con menor rigor metodológico, se ejecutó el Análisis de Sensibilidad (Paso 8) contrastando los resultados de la muestra completa (N = 131) frente a la muestra filtrada de alta calidad (n = 121), tras excluir temporalmente los 10 estudios calificados con QA = 3.50 puntos ([116]–[118], [121]–[123], [127], [128], [132], [133]). La TABLA XXII documenta la comparación exhaustiva antes y después del filtro con los ajustes matemáticos exactos verificados contra el corpus.</w:t>
      </w:r>
    </w:p>
    <w:p>
      <w:pPr>
        <w:keepNext/>
        <w:spacing w:before="140" w:after="20"/>
        <w:jc w:val="center"/>
      </w:pPr>
      <w:r>
        <w:rPr>
          <w:rFonts w:ascii="Times New Roman" w:hAnsi="Times New Roman"/>
          <w:b/>
          <w:sz w:val="16"/>
        </w:rPr>
        <w:t>TABLA XXII</w:t>
        <w:br/>
      </w:r>
      <w:r>
        <w:rPr>
          <w:rFonts w:ascii="Times New Roman" w:hAnsi="Times New Roman"/>
          <w:sz w:val="16"/>
        </w:rPr>
        <w:t>EVALUACIÓN DEL ANÁLISIS DE SENSIBILIDAD: MUESTRA COMPLETA (N = 131) VS. MUESTRA FILTRADA (N = 121)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Pregunta / Dimensión Evaluada</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Muestra Completa (N = 131)</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Muestra Filtrada de Alta Calidad (n = 121)</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Variación Absoluta / Relativa</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Dictamen de Robustez Metodológica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PD1: Producción 2025–2026*</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54 de 131 estudios (41.2 %)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51 de 121 estudios (42.1 %)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(sin alteración de tendencia alcista)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PD2: Hegemonía Geográfica</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 39 de 131 (29.8 %)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 38 de 121 (31.4 %)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+1.6 %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(estabilidad cienciométrica total)</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PD3: Diseños Experimentales</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82 de 131 estudios (62.6 %)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79 de 121 estudios (65.3 %)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+2.7 %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(convergencia empírica invariable)</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PI1: Familia Algorítmica Líder</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CNN-RNN: 56 de 105 (53.3 %)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CNN-RNN: 53 de 101 (52.5 %)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-0.8 %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(jerarquía de 4 familias inalterada)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PI2: Mediana F1-score Facturación</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Mediana F1-score SROIE = 95.2 % (n = 117)</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Mediana F1-score SROIE = 95.2 % (n = 117)</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0.0 %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(muestra intacta, sin estudios QA = 3.5)</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PI3: Conteo SWiM a Favor de IA</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71 de 82 estudios con comparador (86.6 %)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69 de 78 estudios con comparador (88.5 %)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+1.9 %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(dirección del efecto inalterada)</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PI4: Tipología Contable Líder</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Balances y facturas: 93 de 131 (71.0 %)</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Balances y facturas: 87 de 121 (71.9 %)</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+0.9 %</w:t>
            </w:r>
          </w:p>
        </w:tc>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Robusto (núcleo documental inalterado)</w:t>
            </w:r>
          </w:p>
        </w:tc>
      </w:tr>
    </w:tbl>
    <w:p>
      <w:pPr>
        <w:spacing w:before="40" w:after="120"/>
        <w:jc w:val="left"/>
      </w:pPr>
      <w:r>
        <w:rPr>
          <w:rFonts w:ascii="Times New Roman" w:hAnsi="Times New Roman"/>
          <w:i/>
          <w:sz w:val="16"/>
        </w:rPr>
        <w:t>Fuente: elaboración propia a partir del corpus primario [3]–[133]. Filtro de exclusión: 10 estudios con puntaje QA = 3.50 pts ([116]–[118], [121]–[123], [127], [128], [132], [133]).</w:t>
      </w:r>
    </w:p>
    <w:p>
      <w:pPr>
        <w:spacing w:line="240" w:lineRule="auto" w:before="0" w:after="80"/>
        <w:jc w:val="both"/>
      </w:pPr>
      <w:r>
        <w:rPr>
          <w:rFonts w:ascii="Times New Roman" w:hAnsi="Times New Roman"/>
          <w:b/>
          <w:sz w:val="19"/>
        </w:rPr>
        <w:t xml:space="preserve">Síntesis de Robustez de la Evidencia: </w:t>
      </w:r>
      <w:r>
        <w:rPr>
          <w:rFonts w:ascii="Times New Roman" w:hAnsi="Times New Roman"/>
          <w:i w:val="0"/>
          <w:sz w:val="19"/>
        </w:rPr>
        <w:t>El análisis de sensibilidad demuestra que ninguna de las conclusiones de la revisión sistemática se invierte, altera o distorsiona al retirar los estudios de menor calificación de calidad. Las frecuencias porcentuales experimentaron variaciones marginales inferiores a ±2.7 %, la mediana de F1 en facturación se mantuvo exactamente en 95.2 % al no existir estudios con QA = 3.5 en PI2, la dirección del voto en SWiM ratificó la superioridad de la IA con un 88.5 % favorable, y el núcleo contable de balances y facturas se consolidó en el 71.9 %. Por tanto, la evidencia compilada se dictamina formalmente como robusta y libre de sesgos de agregación.</w:t>
      </w:r>
    </w:p>
    <w:p>
      <w:pPr>
        <w:keepNext/>
        <w:spacing w:before="160" w:after="40"/>
        <w:jc w:val="left"/>
      </w:pPr>
      <w:r>
        <w:rPr>
          <w:rFonts w:ascii="Times New Roman" w:hAnsi="Times New Roman"/>
          <w:b/>
          <w:i/>
          <w:sz w:val="19"/>
        </w:rPr>
        <w:t>K. Calificación de Certeza de la Evidencia — Marco GRADE-CERQual (Paso 9)</w:t>
      </w:r>
    </w:p>
    <w:p>
      <w:pPr>
        <w:spacing w:line="240" w:lineRule="auto" w:before="0" w:after="80"/>
        <w:jc w:val="both"/>
      </w:pPr>
      <w:r>
        <w:rPr>
          <w:rFonts w:ascii="Times New Roman" w:hAnsi="Times New Roman"/>
          <w:i w:val="0"/>
          <w:sz w:val="19"/>
        </w:rPr>
        <w:t>En estricto apego a las directrices de Lewin et al. (2018) [140], se evaluó el nivel de confianza de los hallazgos principales a través de los cuatro componentes del marco GRADE-CERQual (Confidence in the Evidence from Reviews of Qualitative/Mixed Research): 1) Limitaciones metodológicas de los estudios primarios, 2) Coherencia de los hallazgos entre distintos autores, 3) Adecuación del volumen de datos, y 4) Relevancia frente al contexto empresarial corporativo. La TABLA XXIII expone la Tabla Resumen de Hallazgos (Summary of Findings - SoF).</w:t>
      </w:r>
    </w:p>
    <w:p>
      <w:pPr>
        <w:keepNext/>
        <w:spacing w:before="140" w:after="20"/>
        <w:jc w:val="center"/>
      </w:pPr>
      <w:r>
        <w:rPr>
          <w:rFonts w:ascii="Times New Roman" w:hAnsi="Times New Roman"/>
          <w:b/>
          <w:sz w:val="16"/>
        </w:rPr>
        <w:t>TABLA XXIII</w:t>
        <w:br/>
      </w:r>
      <w:r>
        <w:rPr>
          <w:rFonts w:ascii="Times New Roman" w:hAnsi="Times New Roman"/>
          <w:sz w:val="16"/>
        </w:rPr>
        <w:t>TABLA RESUMEN DE HALLAZGOS (SUMMARY OF FINDINGS - SOF) BAJO EL MARCO GRADE-CERQUAL (PASO 9)</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trPr>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Preg.</w:t>
            </w:r>
          </w:p>
        </w:tc>
        <w:tc>
          <w:tcPr>
            <w:tcW w:type="dxa" w:w="136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Hallazgo Principal Sintetizado</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Limitaciones (QA)</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Coherencia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Adecuación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Relevancia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Dictamen GRADE-CERQual</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PI1</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Pipelines CNN-RNN y Transformers multimodales (VLMs) dominan el 74.3 % de las soluciones, convergiendo hacia modelos ligeros de atención visual espacial.</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Bajas: el 82.4 % de los estudios posee calidad alta (media QA = 4.61).</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convergencia técnica total entre grupos de investigación internacionales.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n = 105 estudios primarios reportan arquitecturas reproducibles.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aplicable a documentos semiestructurados corporativos.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ALTA CERTEZA</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PI2</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Las arquitecturas de IA alcanzan medianas de F1-score de 95.2 % en recibos y 89.8 % en tablas, con caídas al 84.5 % ante documentos con severa degradación física.</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Bajas: métricas formales reportadas en el 89.3 % de los casos (QA4 = 0.912).</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en benchmarks públicos (SROIE/CORD); moderada en escaneos degradados.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n = 117 estudios con datos empíricos cuantitativos verificables.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 a Alta: sólida en benchmarks estándar; menor en lotes reales no curados.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ALTA CERTEZA (en benchmarks estándar) / MODERADA (en lotes reales con alta degradación)</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PI3</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Las soluciones de IA superan al ingreso manual y al OCR por reglas en el 86.6 % de los estudios, reduciendo tiempos de ciclo de 24–72 h a segundos.</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Moderadas: el criterio QA5 presentó 32.1 % de cumplimiento parcial.</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consenso generalizado en dirección del efecto en favor de la IA.</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 a Alta: n = 82 estudios con comparador empírico explícito.</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evalúa directamente latencias de ciclo y reducción de errores humanos.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MODERADA CERTEZA (debido a la vulnerabilidad detectada en QA5)</w:t>
            </w:r>
          </w:p>
        </w:tc>
      </w:tr>
      <w:tr>
        <w:trPr>
          <w:cantSplit/>
        </w:trPr>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PI4</w:t>
            </w:r>
          </w:p>
        </w:tc>
        <w:tc>
          <w:tcPr>
            <w:tcW w:type="dxa" w:w="136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Las tablas contables (45.0 %) y las facturas (26.0 %) constituyen los ejes centrales de la literatura, pero el 78.6 % de los estudios no implementa conectores nativos ERP.</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Bajas: tipología documental 100 % explícita en todos los estudios (QA1 = 1.000).</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Alta: concordancia global en la primacía de comprobantes de pago.</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Alta: N = 131 estudios cubren la tipología de documentos de negocio.</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Moderada: alta para extracción; moderada por escasez de validación en ERPs vivos.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ALTA CERTEZA (en extracción documental) / MODERADA (en integración transaccional a ERP)</w:t>
            </w:r>
          </w:p>
        </w:tc>
      </w:tr>
    </w:tbl>
    <w:p>
      <w:pPr>
        <w:spacing w:before="40" w:after="120"/>
        <w:jc w:val="left"/>
      </w:pPr>
      <w:r>
        <w:rPr>
          <w:rFonts w:ascii="Times New Roman" w:hAnsi="Times New Roman"/>
          <w:i/>
          <w:sz w:val="16"/>
        </w:rPr>
        <w:t>Fuente: elaboración propia a partir del corpus primario [3]–[133]. Evaluación estructurada bajo los cuatro dominios de GRADE-CERQual [140].</w:t>
      </w:r>
    </w:p>
    <w:p>
      <w:pPr>
        <w:keepNext/>
        <w:spacing w:before="220" w:after="80"/>
        <w:jc w:val="center"/>
      </w:pPr>
      <w:r>
        <w:rPr>
          <w:rFonts w:ascii="Times New Roman" w:hAnsi="Times New Roman"/>
          <w:b/>
          <w:sz w:val="20"/>
        </w:rPr>
        <w:t>DECLARACIÓN SOBRE EL USO DE INTELIGENCIA ARTIFICIAL GENERATIVA</w:t>
      </w:r>
    </w:p>
    <w:p>
      <w:pPr>
        <w:spacing w:line="240" w:lineRule="auto" w:before="0" w:after="50"/>
        <w:jc w:val="both"/>
      </w:pPr>
      <w:r>
        <w:rPr>
          <w:rFonts w:ascii="Times New Roman" w:hAnsi="Times New Roman"/>
          <w:b/>
          <w:sz w:val="19"/>
        </w:rPr>
        <w:t xml:space="preserve">Declaración Ética y Cumplimiento Normativo (COPE / IEEE / UTP): </w:t>
      </w:r>
      <w:r>
        <w:rPr>
          <w:rFonts w:ascii="Times New Roman" w:hAnsi="Times New Roman"/>
          <w:i w:val="0"/>
          <w:sz w:val="19"/>
        </w:rPr>
        <w:t>En estricto cumplimiento del Reglamento y Código de Ética de la Investigación de la Universidad Tecnológica del Perú (UTP), así como de las directrices internacionales del Committee on Publication Ethics (COPE) y las políticas editoriales del IEEE sobre el uso de tecnologías de inteligencia artificial en la autoría y redacción científica, el autor declara formalmente:</w:t>
      </w:r>
    </w:p>
    <w:p>
      <w:pPr>
        <w:spacing w:line="240" w:lineRule="auto" w:before="0" w:after="50"/>
        <w:jc w:val="both"/>
      </w:pPr>
      <w:r>
        <w:rPr>
          <w:rFonts w:ascii="Times New Roman" w:hAnsi="Times New Roman"/>
          <w:b/>
          <w:sz w:val="19"/>
        </w:rPr>
        <w:t xml:space="preserve">1) Herramientas de IA y asistencia computacional empleadas: </w:t>
      </w:r>
      <w:r>
        <w:rPr>
          <w:rFonts w:ascii="Times New Roman" w:hAnsi="Times New Roman"/>
          <w:i w:val="0"/>
          <w:sz w:val="19"/>
        </w:rPr>
        <w:t>Se emplearon modelos de lenguaje avanzados (Google Gemini y Anthropic Claude) junto con scripts automatizados de procesamiento de datos en Python (librerías pandas, python-docx, requests y concurrent.futures).</w:t>
      </w:r>
    </w:p>
    <w:p>
      <w:pPr>
        <w:spacing w:line="240" w:lineRule="auto" w:before="0" w:after="50"/>
        <w:jc w:val="both"/>
      </w:pPr>
      <w:r>
        <w:rPr>
          <w:rFonts w:ascii="Times New Roman" w:hAnsi="Times New Roman"/>
          <w:b/>
          <w:sz w:val="19"/>
        </w:rPr>
        <w:t xml:space="preserve">2) Alcance y funciones específicas autorizadas: </w:t>
      </w:r>
      <w:r>
        <w:rPr>
          <w:rFonts w:ascii="Times New Roman" w:hAnsi="Times New Roman"/>
          <w:i w:val="0"/>
          <w:sz w:val="19"/>
        </w:rPr>
        <w:t>Dichas tecnologías fueron empleadas exclusivamente como soporte metodológico y computacional para: (a) la auditoría automatizada de sintaxis y resolución de enlaces y códigos DOI contra la API oficial de CrossRef y doi.org; (b) el procesamiento matemático de frecuencias, tabulaciones cruzadas y cálculo determinista del índice Kappa de Cohen intra-evaluador; y (c) el refinamiento estilístico, asistencia ortotipográfica y revisión de fluidez lingüística del texto académico.</w:t>
      </w:r>
    </w:p>
    <w:p>
      <w:pPr>
        <w:spacing w:line="240" w:lineRule="auto" w:before="0" w:after="50"/>
        <w:jc w:val="both"/>
      </w:pPr>
      <w:r>
        <w:rPr>
          <w:rFonts w:ascii="Times New Roman" w:hAnsi="Times New Roman"/>
          <w:b/>
          <w:sz w:val="19"/>
        </w:rPr>
        <w:t xml:space="preserve">3) Autoría y responsabilidad ética indelegable: </w:t>
      </w:r>
      <w:r>
        <w:rPr>
          <w:rFonts w:ascii="Times New Roman" w:hAnsi="Times New Roman"/>
          <w:i w:val="0"/>
          <w:sz w:val="19"/>
        </w:rPr>
        <w:t>De conformidad con los estándares de COPE e IEEE, los modelos de IA no cumplen los criterios de autoría científica y no figuran como coautores. El autor principal (Sergio André Rupay Huancachoque) declara que la concepción del estudio, el diseño de la estrategia de búsqueda en Scopus y Web of Science, el cribado y selección de los 131 estudios primarios, la evaluación de calidad metodológica (Kitchenham &amp; Charters [1]) y la interpretación crítica de los hallazgos empíricos fueron realizadas y supervisadas directamente por el autor junto con el docente asesor (Mg. Jimmy Sánchez Portugal), asumiendo el autor plena y exclusiva responsabilidad sobre la originalidad, precisión científica y contenido ético del presente documento.</w:t>
      </w:r>
    </w:p>
    <w:p>
      <w:pPr>
        <w:spacing w:line="240" w:lineRule="auto" w:before="0" w:after="80"/>
        <w:jc w:val="both"/>
      </w:pPr>
      <w:r>
        <w:rPr>
          <w:rFonts w:ascii="Times New Roman" w:hAnsi="Times New Roman"/>
          <w:b/>
          <w:sz w:val="19"/>
        </w:rPr>
        <w:t xml:space="preserve">4) Disponibilidad de datos y reproducibilidad: </w:t>
      </w:r>
      <w:r>
        <w:rPr>
          <w:rFonts w:ascii="Times New Roman" w:hAnsi="Times New Roman"/>
          <w:i w:val="0"/>
          <w:sz w:val="19"/>
        </w:rPr>
        <w:t>La matriz completa de datos del corpus (N = 131), el registro de exclusiones fundamentadas según el ítem 16b de PRISMA 2020 (n = 20), el reporte de auditoría de DOIs y los scripts de verificación se encuentran archivados y disponibles en el repositorio auditable del proyecto para fines de inspección y validación académica independiente.</w:t>
      </w:r>
    </w:p>
    <w:p>
      <w:pPr>
        <w:keepNext/>
        <w:spacing w:before="220" w:after="80"/>
        <w:jc w:val="center"/>
      </w:pPr>
      <w:r>
        <w:rPr>
          <w:rFonts w:ascii="Times New Roman" w:hAnsi="Times New Roman"/>
          <w:b/>
          <w:sz w:val="20"/>
        </w:rPr>
        <w:t>IV. REFERENCIAS BIBLIOGRÁFICAS</w:t>
      </w:r>
    </w:p>
    <w:p>
      <w:pPr>
        <w:spacing w:line="240" w:lineRule="auto" w:before="0" w:after="40"/>
        <w:ind w:left="432" w:hanging="432"/>
        <w:jc w:val="both"/>
      </w:pPr>
      <w:r>
        <w:rPr>
          <w:b/>
          <w:sz w:val="16"/>
        </w:rPr>
        <w:t xml:space="preserve">[1] </w:t>
      </w:r>
      <w:r>
        <w:rPr>
          <w:sz w:val="16"/>
        </w:rPr>
        <w:t>B. Kitchenham and S. Charters, 'Guidelines for performing Systematic Literature Reviews in Software Engineering,' Keele Univ. and Durham Univ., Tech. Rep. EBSE 2007-001, 2007.</w:t>
      </w:r>
    </w:p>
    <w:p>
      <w:pPr>
        <w:spacing w:line="240" w:lineRule="auto" w:before="0" w:after="40"/>
        <w:ind w:left="432" w:hanging="432"/>
        <w:jc w:val="both"/>
      </w:pPr>
      <w:r>
        <w:rPr>
          <w:b/>
          <w:sz w:val="16"/>
        </w:rPr>
        <w:t xml:space="preserve">[2] </w:t>
      </w:r>
      <w:r>
        <w:rPr>
          <w:sz w:val="16"/>
        </w:rPr>
        <w:t>M. J. Page et al., 'The PRISMA 2020 statement: an updated guideline for reporting systematic reviews,' BMJ, vol. 372, p. n71, 2021.</w:t>
      </w:r>
    </w:p>
    <w:p>
      <w:pPr>
        <w:spacing w:line="240" w:lineRule="auto" w:before="0" w:after="40"/>
        <w:ind w:left="432" w:hanging="432"/>
        <w:jc w:val="both"/>
      </w:pPr>
      <w:r>
        <w:rPr>
          <w:b/>
          <w:sz w:val="16"/>
        </w:rPr>
        <w:t xml:space="preserve">[3] </w:t>
      </w:r>
      <w:r>
        <w:rPr>
          <w:sz w:val="16"/>
        </w:rPr>
        <w:t>Wei, JX; Xu, N; Chang, GY; Luo, Y; Yu, BH; Guo, RF, "mChartQA and mChartQABench: A multimodal-only solution for complex chart question-answering," PATTERN RECOGNITION, 2026, doi: 10.1016/j.patcog.2025.112348.</w:t>
      </w:r>
    </w:p>
    <w:p>
      <w:pPr>
        <w:spacing w:line="240" w:lineRule="auto" w:before="0" w:after="40"/>
        <w:ind w:left="432" w:hanging="432"/>
        <w:jc w:val="both"/>
      </w:pPr>
      <w:r>
        <w:rPr>
          <w:b/>
          <w:sz w:val="16"/>
        </w:rPr>
        <w:t xml:space="preserve">[4] </w:t>
      </w:r>
      <w:r>
        <w:rPr>
          <w:sz w:val="16"/>
        </w:rPr>
        <w:t>Chen L.-C.; Weng H.-T.; Pardeshi M.S.; Chen C.-M.; Sheu R.-K.; Pai K.-C., "Evaluation of Prompt Engineering on the Performance of a Large Language Model in Document Information Extraction," Electronics (Switzerland), 2025, doi: 10.3390/electronics14112145.</w:t>
      </w:r>
    </w:p>
    <w:p>
      <w:pPr>
        <w:spacing w:line="240" w:lineRule="auto" w:before="0" w:after="40"/>
        <w:ind w:left="432" w:hanging="432"/>
        <w:jc w:val="both"/>
      </w:pPr>
      <w:r>
        <w:rPr>
          <w:b/>
          <w:sz w:val="16"/>
        </w:rPr>
        <w:t xml:space="preserve">[5] </w:t>
      </w:r>
      <w:r>
        <w:rPr>
          <w:sz w:val="16"/>
        </w:rPr>
        <w:t>Ali Khandokar I.; Deshpande P., "Computer Vision-Based Framework for Data Extraction From Heterogeneous Financial Tables: A Comprehensive Approach to Unlocking Financial Insights," IEEE Access, 2025, doi: 10.1109/access.2024.3522141.</w:t>
      </w:r>
    </w:p>
    <w:p>
      <w:pPr>
        <w:spacing w:line="240" w:lineRule="auto" w:before="0" w:after="40"/>
        <w:ind w:left="432" w:hanging="432"/>
        <w:jc w:val="both"/>
      </w:pPr>
      <w:r>
        <w:rPr>
          <w:b/>
          <w:sz w:val="16"/>
        </w:rPr>
        <w:t xml:space="preserve">[6] </w:t>
      </w:r>
      <w:r>
        <w:rPr>
          <w:sz w:val="16"/>
        </w:rPr>
        <w:t>Mifsud X.; Grech L.; Baldacchino A.; Keller L.; Valentino G.; Muscat A., "Receipt Information Extraction with Joint Multi-Modal Transformer and Rule-Based Model," Machine Learning and Knowledge Extraction, 2025, doi: 10.3390/make7040167.</w:t>
      </w:r>
    </w:p>
    <w:p>
      <w:pPr>
        <w:spacing w:line="240" w:lineRule="auto" w:before="0" w:after="40"/>
        <w:ind w:left="432" w:hanging="432"/>
        <w:jc w:val="both"/>
      </w:pPr>
      <w:r>
        <w:rPr>
          <w:b/>
          <w:sz w:val="16"/>
        </w:rPr>
        <w:t xml:space="preserve">[7] </w:t>
      </w:r>
      <w:r>
        <w:rPr>
          <w:sz w:val="16"/>
        </w:rPr>
        <w:t>Yu J.-M.; Ma H.-J.; Kong J.-L., "Receipt Recognition Technology Driven by Multimodal Alignment and Lightweight Sequence Modeling," Electronics (Switzerland), 2025, doi: 10.3390/electronics14091717.</w:t>
      </w:r>
    </w:p>
    <w:p>
      <w:pPr>
        <w:spacing w:line="240" w:lineRule="auto" w:before="0" w:after="40"/>
        <w:ind w:left="432" w:hanging="432"/>
        <w:jc w:val="both"/>
      </w:pPr>
      <w:r>
        <w:rPr>
          <w:b/>
          <w:sz w:val="16"/>
        </w:rPr>
        <w:t xml:space="preserve">[8] </w:t>
      </w:r>
      <w:r>
        <w:rPr>
          <w:sz w:val="16"/>
        </w:rPr>
        <w:t>Sassioui A.; Elouargui Y.; El Kamili M.; Benouini R.; Mehdi Benyoussef E.; Chergui M.; Ouzzif M., "LMGDoc: Light Multigranular GNN for Efficient Document Understanding," IEEE Access, 2025, doi: 10.1109/access.2025.3568628.</w:t>
      </w:r>
    </w:p>
    <w:p>
      <w:pPr>
        <w:spacing w:line="240" w:lineRule="auto" w:before="0" w:after="40"/>
        <w:ind w:left="432" w:hanging="432"/>
        <w:jc w:val="both"/>
      </w:pPr>
      <w:r>
        <w:rPr>
          <w:b/>
          <w:sz w:val="16"/>
        </w:rPr>
        <w:t xml:space="preserve">[9] </w:t>
      </w:r>
      <w:r>
        <w:rPr>
          <w:sz w:val="16"/>
        </w:rPr>
        <w:t>Luo C.; Tang G.; Zheng Q.; Yao C.; Jin L.; Li C.; Xue Y.; Si L., "Bi-VLDoc: bidirectional vision-language modeling for visually-rich document understanding," International Journal on Document Analysis and Recognition, 2025, doi: 10.1007/s10032-025-00518-w.</w:t>
      </w:r>
    </w:p>
    <w:p>
      <w:pPr>
        <w:spacing w:line="240" w:lineRule="auto" w:before="0" w:after="40"/>
        <w:ind w:left="432" w:hanging="432"/>
        <w:jc w:val="both"/>
      </w:pPr>
      <w:r>
        <w:rPr>
          <w:b/>
          <w:sz w:val="16"/>
        </w:rPr>
        <w:t xml:space="preserve">[10] </w:t>
      </w:r>
      <w:r>
        <w:rPr>
          <w:sz w:val="16"/>
        </w:rPr>
        <w:t>Tiwari D.; Gupta A.; Soni R., "DNN-HHOA: Deep Neural Network Optimization-Based Tabular Data Extraction from Compound Document Images," International Journal of Image and Graphics, 2025, doi: 10.1142/s021946782550010x.</w:t>
      </w:r>
    </w:p>
    <w:p>
      <w:pPr>
        <w:spacing w:line="240" w:lineRule="auto" w:before="0" w:after="40"/>
        <w:ind w:left="432" w:hanging="432"/>
        <w:jc w:val="both"/>
      </w:pPr>
      <w:r>
        <w:rPr>
          <w:b/>
          <w:sz w:val="16"/>
        </w:rPr>
        <w:t xml:space="preserve">[11] </w:t>
      </w:r>
      <w:r>
        <w:rPr>
          <w:sz w:val="16"/>
        </w:rPr>
        <w:t>Xiao B.; Simsek M.; Kantarci B.; Alkheir A.A., "Rethinking detection based table structure recognition for visually rich document images," Expert Systems with Applications, 2025, doi: 10.1016/j.eswa.2025.126461.</w:t>
      </w:r>
    </w:p>
    <w:p>
      <w:pPr>
        <w:spacing w:line="240" w:lineRule="auto" w:before="0" w:after="40"/>
        <w:ind w:left="432" w:hanging="432"/>
        <w:jc w:val="both"/>
      </w:pPr>
      <w:r>
        <w:rPr>
          <w:b/>
          <w:sz w:val="16"/>
        </w:rPr>
        <w:t xml:space="preserve">[12] </w:t>
      </w:r>
      <w:r>
        <w:rPr>
          <w:sz w:val="16"/>
        </w:rPr>
        <w:t>Iqbal M.Z.; Garg N.; Ahmed S.B., "Table Extraction with Table Data Using VGG-19 Deep Learning Model," Sensors, 2025, doi: 10.3390/s25010203.</w:t>
      </w:r>
    </w:p>
    <w:p>
      <w:pPr>
        <w:spacing w:line="240" w:lineRule="auto" w:before="0" w:after="40"/>
        <w:ind w:left="432" w:hanging="432"/>
        <w:jc w:val="both"/>
      </w:pPr>
      <w:r>
        <w:rPr>
          <w:b/>
          <w:sz w:val="16"/>
        </w:rPr>
        <w:t xml:space="preserve">[13] </w:t>
      </w:r>
      <w:r>
        <w:rPr>
          <w:sz w:val="16"/>
        </w:rPr>
        <w:t>Wang Y.; Lv W.; Wu W.; Xie G.; Lu B.; Wang C.; Zhan C.; Su B., "TransTab: A transformer-based approach for table detection and tabular data extraction from scanned document images," Machine Learning with Applications, 2025, doi: 10.1016/j.mlwa.2025.100665.</w:t>
      </w:r>
    </w:p>
    <w:p>
      <w:pPr>
        <w:spacing w:line="240" w:lineRule="auto" w:before="0" w:after="40"/>
        <w:ind w:left="432" w:hanging="432"/>
        <w:jc w:val="both"/>
      </w:pPr>
      <w:r>
        <w:rPr>
          <w:b/>
          <w:sz w:val="16"/>
        </w:rPr>
        <w:t xml:space="preserve">[14] </w:t>
      </w:r>
      <w:r>
        <w:rPr>
          <w:sz w:val="16"/>
        </w:rPr>
        <w:t>Gonçalves Lima V.; Alves Pereira D., "UFLA-FORMS: an academic forms dataset for information extraction in the Portuguese language," Language Resources and Evaluation, 2025, doi: 10.1007/s10579-024-09802-3.</w:t>
      </w:r>
    </w:p>
    <w:p>
      <w:pPr>
        <w:spacing w:line="240" w:lineRule="auto" w:before="0" w:after="40"/>
        <w:ind w:left="432" w:hanging="432"/>
        <w:jc w:val="both"/>
      </w:pPr>
      <w:r>
        <w:rPr>
          <w:b/>
          <w:sz w:val="16"/>
        </w:rPr>
        <w:t xml:space="preserve">[15] </w:t>
      </w:r>
      <w:r>
        <w:rPr>
          <w:sz w:val="16"/>
        </w:rPr>
        <w:t>Alsayed A.; Li C.; Abdalsalam M.; Fat’hAlalim A., "A hybrid model for Arabic character recognition using CNN and Kolmogorov Arnold Networks (KANs)," Multimedia Tools and Applications, 2025, doi: 10.1007/s11042-025-20934-8.</w:t>
      </w:r>
    </w:p>
    <w:p>
      <w:pPr>
        <w:spacing w:line="240" w:lineRule="auto" w:before="0" w:after="40"/>
        <w:ind w:left="432" w:hanging="432"/>
        <w:jc w:val="both"/>
      </w:pPr>
      <w:r>
        <w:rPr>
          <w:b/>
          <w:sz w:val="16"/>
        </w:rPr>
        <w:t xml:space="preserve">[16] </w:t>
      </w:r>
      <w:r>
        <w:rPr>
          <w:sz w:val="16"/>
        </w:rPr>
        <w:t>Saeed B.; Muhammad S.; Ullah K.; Namoun A.; Khan A.; Syed I.; Ullah S.S.; Hussain I., "Deep Learning-Based Detection of One and Two-Column Textual Blocks in Camera-Captured Pashto Documents Images," IEEE Access, 2025, doi: 10.1109/access.2025.3531713.</w:t>
      </w:r>
    </w:p>
    <w:p>
      <w:pPr>
        <w:spacing w:line="240" w:lineRule="auto" w:before="0" w:after="40"/>
        <w:ind w:left="432" w:hanging="432"/>
        <w:jc w:val="both"/>
      </w:pPr>
      <w:r>
        <w:rPr>
          <w:b/>
          <w:sz w:val="16"/>
        </w:rPr>
        <w:t xml:space="preserve">[17] </w:t>
      </w:r>
      <w:r>
        <w:rPr>
          <w:sz w:val="16"/>
        </w:rPr>
        <w:t>Abdalla M.; Kasem M.S.; Mahmoud M.; Yagoub B.; Senussi M.F.; Abdallah A.; Hun Kang S.; Kang H.S., "ReceiptQA: A Question-Answering Dataset for Receipt Understanding," Mathematics, 2025, doi: 10.3390/math13111760.</w:t>
      </w:r>
    </w:p>
    <w:p>
      <w:pPr>
        <w:spacing w:line="240" w:lineRule="auto" w:before="0" w:after="40"/>
        <w:ind w:left="432" w:hanging="432"/>
        <w:jc w:val="both"/>
      </w:pPr>
      <w:r>
        <w:rPr>
          <w:b/>
          <w:sz w:val="16"/>
        </w:rPr>
        <w:t xml:space="preserve">[18] </w:t>
      </w:r>
      <w:r>
        <w:rPr>
          <w:sz w:val="16"/>
        </w:rPr>
        <w:t>Zhang L.; Wang Y.; Yang N.; Jiang B., "Res-THL: multimodal pre-training models for document understanding," International Journal of Wireless and Mobile Computing, 2025, doi: 10.1504/ijwmc.2025.148584.</w:t>
      </w:r>
    </w:p>
    <w:p>
      <w:pPr>
        <w:spacing w:line="240" w:lineRule="auto" w:before="0" w:after="40"/>
        <w:ind w:left="432" w:hanging="432"/>
        <w:jc w:val="both"/>
      </w:pPr>
      <w:r>
        <w:rPr>
          <w:b/>
          <w:sz w:val="16"/>
        </w:rPr>
        <w:t xml:space="preserve">[19] </w:t>
      </w:r>
      <w:r>
        <w:rPr>
          <w:sz w:val="16"/>
        </w:rPr>
        <w:t>Hu R.; Yang Y.; Liu S.; Li Z.; Liu J.; Ding X.; Sun H.; Ren L., "Large language model driven transferable key information extraction mechanism for nonstandardized tables," Scientific Reports, 2025, doi: 10.1038/s41598-025-15627-z.</w:t>
      </w:r>
    </w:p>
    <w:p>
      <w:pPr>
        <w:spacing w:line="240" w:lineRule="auto" w:before="0" w:after="40"/>
        <w:ind w:left="432" w:hanging="432"/>
        <w:jc w:val="both"/>
      </w:pPr>
      <w:r>
        <w:rPr>
          <w:b/>
          <w:sz w:val="16"/>
        </w:rPr>
        <w:t xml:space="preserve">[20] </w:t>
      </w:r>
      <w:r>
        <w:rPr>
          <w:sz w:val="16"/>
        </w:rPr>
        <w:t>Yang X., "Financial fraud identification and economic impact analysis based on machine vision technology," Journal of Computational Methods in Sciences and Engineering, 2025, doi: 10.1177/14727978251346036.</w:t>
      </w:r>
    </w:p>
    <w:p>
      <w:pPr>
        <w:spacing w:line="240" w:lineRule="auto" w:before="0" w:after="40"/>
        <w:ind w:left="432" w:hanging="432"/>
        <w:jc w:val="both"/>
      </w:pPr>
      <w:r>
        <w:rPr>
          <w:b/>
          <w:sz w:val="16"/>
        </w:rPr>
        <w:t xml:space="preserve">[21] </w:t>
      </w:r>
      <w:r>
        <w:rPr>
          <w:sz w:val="16"/>
        </w:rPr>
        <w:t>Zingerenko M.; Limonova E.; Arlazarov V.V., "Template-based text field segmentation for ID documents using dynamic squeezeboxes packing," Multimedia Tools and Applications, 2025, doi: 10.1007/s11042-024-20162-6.</w:t>
      </w:r>
    </w:p>
    <w:p>
      <w:pPr>
        <w:spacing w:line="240" w:lineRule="auto" w:before="0" w:after="40"/>
        <w:ind w:left="432" w:hanging="432"/>
        <w:jc w:val="both"/>
      </w:pPr>
      <w:r>
        <w:rPr>
          <w:b/>
          <w:sz w:val="16"/>
        </w:rPr>
        <w:t xml:space="preserve">[22] </w:t>
      </w:r>
      <w:r>
        <w:rPr>
          <w:sz w:val="16"/>
        </w:rPr>
        <w:t>Tanasa A.-M.; Oprea S.-V., "Rethinking Chart Understanding Using Multimodal Large Language Models," Computers, Materials and Continua, 2025, doi: 10.32604/cmc.2025.065421.</w:t>
      </w:r>
    </w:p>
    <w:p>
      <w:pPr>
        <w:spacing w:line="240" w:lineRule="auto" w:before="0" w:after="40"/>
        <w:ind w:left="432" w:hanging="432"/>
        <w:jc w:val="both"/>
      </w:pPr>
      <w:r>
        <w:rPr>
          <w:b/>
          <w:sz w:val="16"/>
        </w:rPr>
        <w:t xml:space="preserve">[23] </w:t>
      </w:r>
      <w:r>
        <w:rPr>
          <w:sz w:val="16"/>
        </w:rPr>
        <w:t>Mao Q.; Li J.; Zhou H.; Kar P.; Bellotti A.G., "ALDII: Adaptive Learning-based Document Image Inpainting to enhance the handwritten Chinese character legibility of human and machine," Neurocomputing, 2025, doi: 10.1016/j.neucom.2024.128897.</w:t>
      </w:r>
    </w:p>
    <w:p>
      <w:pPr>
        <w:spacing w:line="240" w:lineRule="auto" w:before="0" w:after="40"/>
        <w:ind w:left="432" w:hanging="432"/>
        <w:jc w:val="both"/>
      </w:pPr>
      <w:r>
        <w:rPr>
          <w:b/>
          <w:sz w:val="16"/>
        </w:rPr>
        <w:t xml:space="preserve">[24] </w:t>
      </w:r>
      <w:r>
        <w:rPr>
          <w:sz w:val="16"/>
        </w:rPr>
        <w:t>Jeong Y.-B.; Seo H.-I.; Kim Y.-H.; Kim W.-Y., "Retrieval-augmented visual parcel invoice understanding transformer for address correction," Engineering Applications of Artificial Intelligence, 2025, doi: 10.1016/j.engappai.2025.111542.</w:t>
      </w:r>
    </w:p>
    <w:p>
      <w:pPr>
        <w:spacing w:line="240" w:lineRule="auto" w:before="0" w:after="40"/>
        <w:ind w:left="432" w:hanging="432"/>
        <w:jc w:val="both"/>
      </w:pPr>
      <w:r>
        <w:rPr>
          <w:b/>
          <w:sz w:val="16"/>
        </w:rPr>
        <w:t xml:space="preserve">[25] </w:t>
      </w:r>
      <w:r>
        <w:rPr>
          <w:sz w:val="16"/>
        </w:rPr>
        <w:t>Levich S.; Knust L., "Discriminative meets generative: Automated information retrieval from unstructured corporate documents via (large) language models," International Journal of Accounting Information Systems, 2025, doi: 10.1016/j.accinf.2025.100750.</w:t>
      </w:r>
    </w:p>
    <w:p>
      <w:pPr>
        <w:spacing w:line="240" w:lineRule="auto" w:before="0" w:after="40"/>
        <w:ind w:left="432" w:hanging="432"/>
        <w:jc w:val="both"/>
      </w:pPr>
      <w:r>
        <w:rPr>
          <w:b/>
          <w:sz w:val="16"/>
        </w:rPr>
        <w:t xml:space="preserve">[26] </w:t>
      </w:r>
      <w:r>
        <w:rPr>
          <w:sz w:val="16"/>
        </w:rPr>
        <w:t>Zhang W.; Zheng Y.; Chen J., "Multimodal Information Extraction From Visually Rich Documents With Adaptive Graph Integration Network," IEEE Access, 2025, doi: 10.1109/access.2025.3619974.</w:t>
      </w:r>
    </w:p>
    <w:p>
      <w:pPr>
        <w:spacing w:line="240" w:lineRule="auto" w:before="0" w:after="40"/>
        <w:ind w:left="432" w:hanging="432"/>
        <w:jc w:val="both"/>
      </w:pPr>
      <w:r>
        <w:rPr>
          <w:b/>
          <w:sz w:val="16"/>
        </w:rPr>
        <w:t xml:space="preserve">[27] </w:t>
      </w:r>
      <w:r>
        <w:rPr>
          <w:sz w:val="16"/>
        </w:rPr>
        <w:t>Lin, YM; Hasan, M; Kosalge, R; Cheung, A; Parameswaran, AG, "Visual Template Inference for Data Extraction from Documents," PROCEEDINGS OF THE ACM ON MANAGEMENT OF DATA, 2025, doi: 10.1145/3769840.</w:t>
      </w:r>
    </w:p>
    <w:p>
      <w:pPr>
        <w:spacing w:line="240" w:lineRule="auto" w:before="0" w:after="40"/>
        <w:ind w:left="432" w:hanging="432"/>
        <w:jc w:val="both"/>
      </w:pPr>
      <w:r>
        <w:rPr>
          <w:b/>
          <w:sz w:val="16"/>
        </w:rPr>
        <w:t xml:space="preserve">[28] </w:t>
      </w:r>
      <w:r>
        <w:rPr>
          <w:sz w:val="16"/>
        </w:rPr>
        <w:t>Liu Z., "Accounting-Oriented Research on Note Recognition Model based on Information Extraction Algorithm," WSEAS Transactions on Business and Economics, 2024, doi: 10.37394/23207.2024.21.216.</w:t>
      </w:r>
    </w:p>
    <w:p>
      <w:pPr>
        <w:spacing w:line="240" w:lineRule="auto" w:before="0" w:after="40"/>
        <w:ind w:left="432" w:hanging="432"/>
        <w:jc w:val="both"/>
      </w:pPr>
      <w:r>
        <w:rPr>
          <w:b/>
          <w:sz w:val="16"/>
        </w:rPr>
        <w:t xml:space="preserve">[29] </w:t>
      </w:r>
      <w:r>
        <w:rPr>
          <w:sz w:val="16"/>
        </w:rPr>
        <w:t>Yao M.; Liu Z.; Zhuang L.; Wang L.; Li H., "A Robust Framework for One-Shot Key Information Extraction via Deep Partial Graph Matching," IEEE Transactions on Image Processing, 2024, doi: 10.1109/tip.2024.3357251.</w:t>
      </w:r>
    </w:p>
    <w:p>
      <w:pPr>
        <w:spacing w:line="240" w:lineRule="auto" w:before="0" w:after="40"/>
        <w:ind w:left="432" w:hanging="432"/>
        <w:jc w:val="both"/>
      </w:pPr>
      <w:r>
        <w:rPr>
          <w:b/>
          <w:sz w:val="16"/>
        </w:rPr>
        <w:t xml:space="preserve">[30] </w:t>
      </w:r>
      <w:r>
        <w:rPr>
          <w:sz w:val="16"/>
        </w:rPr>
        <w:t>Zhou H.; Shao L.; Zhang H., "SRRNet: A Transformer Structure with Adaptive 2-D Spatial Attention Mechanism for Cell Phone-Captured Shopping Receipt Recognition," IEEE Transactions on Consumer Electronics, 2024, doi: 10.1109/tce.2022.3229438.</w:t>
      </w:r>
    </w:p>
    <w:p>
      <w:pPr>
        <w:spacing w:line="240" w:lineRule="auto" w:before="0" w:after="40"/>
        <w:ind w:left="432" w:hanging="432"/>
        <w:jc w:val="both"/>
      </w:pPr>
      <w:r>
        <w:rPr>
          <w:b/>
          <w:sz w:val="16"/>
        </w:rPr>
        <w:t xml:space="preserve">[31] </w:t>
      </w:r>
      <w:r>
        <w:rPr>
          <w:sz w:val="16"/>
        </w:rPr>
        <w:t>Tiwari D.; Gupta A., "Table structure recognition using black widow based mutual exclusion and RESNET attention model," Journal of Intelligent and Fuzzy Systems, 2024, doi: 10.3233/jifs-232646.</w:t>
      </w:r>
    </w:p>
    <w:p>
      <w:pPr>
        <w:spacing w:line="240" w:lineRule="auto" w:before="0" w:after="40"/>
        <w:ind w:left="432" w:hanging="432"/>
        <w:jc w:val="both"/>
      </w:pPr>
      <w:r>
        <w:rPr>
          <w:b/>
          <w:sz w:val="16"/>
        </w:rPr>
        <w:t xml:space="preserve">[32] </w:t>
      </w:r>
      <w:r>
        <w:rPr>
          <w:sz w:val="16"/>
        </w:rPr>
        <w:t>Jia M.; Yu W.; Ma K.; Fang T.; Li C., "Leopard: A Vision Language Model for Text-Rich Multi-Image Tasks," Transactions on Machine Learning Research, 2025, ISSN: 2835-8856. [Online]. Available: https://openreview.net/forum?id=R2rasAEPVi.</w:t>
      </w:r>
    </w:p>
    <w:p>
      <w:pPr>
        <w:spacing w:line="240" w:lineRule="auto" w:before="0" w:after="40"/>
        <w:ind w:left="432" w:hanging="432"/>
        <w:jc w:val="both"/>
      </w:pPr>
      <w:r>
        <w:rPr>
          <w:b/>
          <w:sz w:val="16"/>
        </w:rPr>
        <w:t xml:space="preserve">[33] </w:t>
      </w:r>
      <w:r>
        <w:rPr>
          <w:sz w:val="16"/>
        </w:rPr>
        <w:t>Gemelli A.; Marinai S.; Pisaneschi L.; Santoni F., "Datasets and annotations for layout analysis of scientific articles," International Journal on Document Analysis and Recognition, 2024, doi: 10.1007/s10032-024-00461-2.</w:t>
      </w:r>
    </w:p>
    <w:p>
      <w:pPr>
        <w:spacing w:line="240" w:lineRule="auto" w:before="0" w:after="40"/>
        <w:ind w:left="432" w:hanging="432"/>
        <w:jc w:val="both"/>
      </w:pPr>
      <w:r>
        <w:rPr>
          <w:b/>
          <w:sz w:val="16"/>
        </w:rPr>
        <w:t xml:space="preserve">[34] </w:t>
      </w:r>
      <w:r>
        <w:rPr>
          <w:sz w:val="16"/>
        </w:rPr>
        <w:t>Guo P.; Song Y.; Deng Y.; Xie K.-K.; Xu M.; Liu J.; Ren H., "DCMAI: A Dynamical Cross-Modal Alignment Interaction Framework for Document Key Information Extraction," IEEE Transactions on Circuits and Systems for Video Technology, 2024, doi: 10.1109/tcsvt.2023.3287296.</w:t>
      </w:r>
    </w:p>
    <w:p>
      <w:pPr>
        <w:spacing w:line="240" w:lineRule="auto" w:before="0" w:after="40"/>
        <w:ind w:left="432" w:hanging="432"/>
        <w:jc w:val="both"/>
      </w:pPr>
      <w:r>
        <w:rPr>
          <w:b/>
          <w:sz w:val="16"/>
        </w:rPr>
        <w:t xml:space="preserve">[35] </w:t>
      </w:r>
      <w:r>
        <w:rPr>
          <w:sz w:val="16"/>
        </w:rPr>
        <w:t>Fernandes J.; Xiao B.; Simsek M.; Kantarci B.; Khan S.; Alkheir A.A., "TableStrRec: framework for table structure recognition in data sheet images," International Journal on Document Analysis and Recognition, 2024, doi: 10.1007/s10032-023-00453-8.</w:t>
      </w:r>
    </w:p>
    <w:p>
      <w:pPr>
        <w:spacing w:line="240" w:lineRule="auto" w:before="0" w:after="40"/>
        <w:ind w:left="432" w:hanging="432"/>
        <w:jc w:val="both"/>
      </w:pPr>
      <w:r>
        <w:rPr>
          <w:b/>
          <w:sz w:val="16"/>
        </w:rPr>
        <w:t xml:space="preserve">[36] </w:t>
      </w:r>
      <w:r>
        <w:rPr>
          <w:sz w:val="16"/>
        </w:rPr>
        <w:t>Luo S.; Yu J., "SGFNet: A semantic graph-based multimodal network for financial invoice information extraction," Expert Systems with Applications, 2024, doi: 10.1016/j.eswa.2024.125156.</w:t>
      </w:r>
    </w:p>
    <w:p>
      <w:pPr>
        <w:spacing w:line="240" w:lineRule="auto" w:before="0" w:after="40"/>
        <w:ind w:left="432" w:hanging="432"/>
        <w:jc w:val="both"/>
      </w:pPr>
      <w:r>
        <w:rPr>
          <w:b/>
          <w:sz w:val="16"/>
        </w:rPr>
        <w:t xml:space="preserve">[37] </w:t>
      </w:r>
      <w:r>
        <w:rPr>
          <w:sz w:val="16"/>
        </w:rPr>
        <w:t>Chen Z.; Wang W.; Tian H.; Ye S.; Gao Z.; Cui E.; Tong W.; Hu K.; Luo J.; Ma Z.; Ma J.; Wang J.; Dong X.; Yan H.; Guo H.; He C.; Shi B.; Jin Z.; Xu C.; Wang B.; Wei X.; Li W.; Zhang W.; Zhang B.; Cai P.; Wen L.; Yan X.; Dou M.; Lu L.; Zhu X.; Lu T.; Lin D.; Qiao Y.; Dai J.; Wang W., "How far are we to GPT-4V? Closing the gap to commercial multimodal models with open-source suites," Science China Information Sciences, 2024, doi: 10.1007/s11432-024-4231-5.</w:t>
      </w:r>
    </w:p>
    <w:p>
      <w:pPr>
        <w:spacing w:line="240" w:lineRule="auto" w:before="0" w:after="40"/>
        <w:ind w:left="432" w:hanging="432"/>
        <w:jc w:val="both"/>
      </w:pPr>
      <w:r>
        <w:rPr>
          <w:b/>
          <w:sz w:val="16"/>
        </w:rPr>
        <w:t xml:space="preserve">[38] </w:t>
      </w:r>
      <w:r>
        <w:rPr>
          <w:sz w:val="16"/>
        </w:rPr>
        <w:t>Gbada H.; Kalti K.; Mahjoub M.A., "Multimodal weighted graph representation for information extraction from visually rich documents," Neurocomputing, 2024, doi: 10.1016/j.neucom.2023.127223.</w:t>
      </w:r>
    </w:p>
    <w:p>
      <w:pPr>
        <w:spacing w:line="240" w:lineRule="auto" w:before="0" w:after="40"/>
        <w:ind w:left="432" w:hanging="432"/>
        <w:jc w:val="both"/>
      </w:pPr>
      <w:r>
        <w:rPr>
          <w:b/>
          <w:sz w:val="16"/>
        </w:rPr>
        <w:t xml:space="preserve">[39] </w:t>
      </w:r>
      <w:r>
        <w:rPr>
          <w:sz w:val="16"/>
        </w:rPr>
        <w:t>Hertlein F.; Naumann A.; Philipp P., "Inv3D: a high-resolution 3D invoice dataset for template-guided single-image document unwarping," International Journal on Document Analysis and Recognition, 2023, doi: 10.1007/s10032-023-00434-x.</w:t>
      </w:r>
    </w:p>
    <w:p>
      <w:pPr>
        <w:spacing w:line="240" w:lineRule="auto" w:before="0" w:after="40"/>
        <w:ind w:left="432" w:hanging="432"/>
        <w:jc w:val="both"/>
      </w:pPr>
      <w:r>
        <w:rPr>
          <w:b/>
          <w:sz w:val="16"/>
        </w:rPr>
        <w:t xml:space="preserve">[40] </w:t>
      </w:r>
      <w:r>
        <w:rPr>
          <w:sz w:val="16"/>
        </w:rPr>
        <w:t>Nguyen-Trong K.; Trinh T., "Information extraction from Visually Rich Documents using graph convolutional network," Journal of Intelligent and Fuzzy Systems, 2023, doi: 10.3233/jifs-230204.</w:t>
      </w:r>
    </w:p>
    <w:p>
      <w:pPr>
        <w:spacing w:line="240" w:lineRule="auto" w:before="0" w:after="40"/>
        <w:ind w:left="432" w:hanging="432"/>
        <w:jc w:val="both"/>
      </w:pPr>
      <w:r>
        <w:rPr>
          <w:b/>
          <w:sz w:val="16"/>
        </w:rPr>
        <w:t xml:space="preserve">[41] </w:t>
      </w:r>
      <w:r>
        <w:rPr>
          <w:sz w:val="16"/>
        </w:rPr>
        <w:t>Ma C.; Lin W.; Sun L.; Huo Q., "Robust Table Detection and Structure Recognition from Heterogeneous Document Images," Pattern Recognition, 2023, doi: 10.1016/j.patcog.2022.109006.</w:t>
      </w:r>
    </w:p>
    <w:p>
      <w:pPr>
        <w:spacing w:line="240" w:lineRule="auto" w:before="0" w:after="40"/>
        <w:ind w:left="432" w:hanging="432"/>
        <w:jc w:val="both"/>
      </w:pPr>
      <w:r>
        <w:rPr>
          <w:b/>
          <w:sz w:val="16"/>
        </w:rPr>
        <w:t xml:space="preserve">[42] </w:t>
      </w:r>
      <w:r>
        <w:rPr>
          <w:sz w:val="16"/>
        </w:rPr>
        <w:t>Cho S.; Moon J.; Bae J.; Kang J.; Lee S., "A Framework for Understanding Unstructured Financial Documents Using RPA and Multimodal Approach," Electronics (Switzerland), 2023, doi: 10.3390/electronics12040939.</w:t>
      </w:r>
    </w:p>
    <w:p>
      <w:pPr>
        <w:spacing w:line="240" w:lineRule="auto" w:before="0" w:after="40"/>
        <w:ind w:left="432" w:hanging="432"/>
        <w:jc w:val="both"/>
      </w:pPr>
      <w:r>
        <w:rPr>
          <w:b/>
          <w:sz w:val="16"/>
        </w:rPr>
        <w:t xml:space="preserve">[43] </w:t>
      </w:r>
      <w:r>
        <w:rPr>
          <w:sz w:val="16"/>
        </w:rPr>
        <w:t>Zhang Z.; Ma J.; Du J.; Wang L.; Zhang J., "Multimodal Pre-Training Based on Graph Attention Network for Document Understanding," IEEE Transactions on Multimedia, 2023, doi: 10.1109/tmm.2022.3214102.</w:t>
      </w:r>
    </w:p>
    <w:p>
      <w:pPr>
        <w:spacing w:line="240" w:lineRule="auto" w:before="0" w:after="40"/>
        <w:ind w:left="432" w:hanging="432"/>
        <w:jc w:val="both"/>
      </w:pPr>
      <w:r>
        <w:rPr>
          <w:b/>
          <w:sz w:val="16"/>
        </w:rPr>
        <w:t xml:space="preserve">[44] </w:t>
      </w:r>
      <w:r>
        <w:rPr>
          <w:sz w:val="16"/>
        </w:rPr>
        <w:t>Manjunath A.A.; Nayak M.S.; Nishith S.; Pandit S.N.; Sunkad S.; Deenadhayalan P.; Gangadhara S., "Automated invoice data extraction using image processing," IAES International Journal of Artificial Intelligence, 2023, doi: 10.11591/ijai.v12.i2.pp514-521.</w:t>
      </w:r>
    </w:p>
    <w:p>
      <w:pPr>
        <w:spacing w:line="240" w:lineRule="auto" w:before="0" w:after="40"/>
        <w:ind w:left="432" w:hanging="432"/>
        <w:jc w:val="both"/>
      </w:pPr>
      <w:r>
        <w:rPr>
          <w:b/>
          <w:sz w:val="16"/>
        </w:rPr>
        <w:t xml:space="preserve">[45] </w:t>
      </w:r>
      <w:r>
        <w:rPr>
          <w:sz w:val="16"/>
        </w:rPr>
        <w:t>Guha A.; Samanta D.; Islam S.H., "IIRM: Intelligent Information Retrieval Model for Structured Documents by One-Shot Training Using Computer Vision," Arabian Journal for Science and Engineering, 2023, doi: 10.1007/s13369-022-06735-3.</w:t>
      </w:r>
    </w:p>
    <w:p>
      <w:pPr>
        <w:spacing w:line="240" w:lineRule="auto" w:before="0" w:after="40"/>
        <w:ind w:left="432" w:hanging="432"/>
        <w:jc w:val="both"/>
      </w:pPr>
      <w:r>
        <w:rPr>
          <w:b/>
          <w:sz w:val="16"/>
        </w:rPr>
        <w:t xml:space="preserve">[46] </w:t>
      </w:r>
      <w:r>
        <w:rPr>
          <w:sz w:val="16"/>
        </w:rPr>
        <w:t>Namysł M.; Esser A.M.; Behnke S.; Köhler J., "Flexible Hybrid Table Recognition and Semantic Interpretation System," SN Computer Science, 2023, doi: 10.1007/s42979-022-01659-z.</w:t>
      </w:r>
    </w:p>
    <w:p>
      <w:pPr>
        <w:spacing w:line="240" w:lineRule="auto" w:before="0" w:after="40"/>
        <w:ind w:left="432" w:hanging="432"/>
        <w:jc w:val="both"/>
      </w:pPr>
      <w:r>
        <w:rPr>
          <w:b/>
          <w:sz w:val="16"/>
        </w:rPr>
        <w:t xml:space="preserve">[47] </w:t>
      </w:r>
      <w:r>
        <w:rPr>
          <w:sz w:val="16"/>
        </w:rPr>
        <w:t>Chu J.S.; Pyo B.; Parth V.; Hussein A.; Wang P., "Key-Value Pair Identification from Tables Using Multimodal Learning," International Journal of Pattern Recognition and Artificial Intelligence, 2023, doi: 10.1142/s0218001423520092.</w:t>
      </w:r>
    </w:p>
    <w:p>
      <w:pPr>
        <w:spacing w:line="240" w:lineRule="auto" w:before="0" w:after="40"/>
        <w:ind w:left="432" w:hanging="432"/>
        <w:jc w:val="both"/>
      </w:pPr>
      <w:r>
        <w:rPr>
          <w:b/>
          <w:sz w:val="16"/>
        </w:rPr>
        <w:t xml:space="preserve">[48] </w:t>
      </w:r>
      <w:r>
        <w:rPr>
          <w:sz w:val="16"/>
        </w:rPr>
        <w:t>Xiao B.; Simsek M.; Kantarci B.; Alkheir A.A., "Table detection for visually rich document images," Knowledge-Based Systems, 2023, doi: 10.1016/j.knosys.2023.111080.</w:t>
      </w:r>
    </w:p>
    <w:p>
      <w:pPr>
        <w:spacing w:line="240" w:lineRule="auto" w:before="0" w:after="40"/>
        <w:ind w:left="432" w:hanging="432"/>
        <w:jc w:val="both"/>
      </w:pPr>
      <w:r>
        <w:rPr>
          <w:b/>
          <w:sz w:val="16"/>
        </w:rPr>
        <w:t xml:space="preserve">[49] </w:t>
      </w:r>
      <w:r>
        <w:rPr>
          <w:sz w:val="16"/>
        </w:rPr>
        <w:t>Yang, P, "Financial Information Extraction Using the Improved Hidden Markov Model and Deep Learning," IETE JOURNAL OF RESEARCH, 2023, doi: 10.1080/03772063.2022.2054873.</w:t>
      </w:r>
    </w:p>
    <w:p>
      <w:pPr>
        <w:spacing w:line="240" w:lineRule="auto" w:before="0" w:after="40"/>
        <w:ind w:left="432" w:hanging="432"/>
        <w:jc w:val="both"/>
      </w:pPr>
      <w:r>
        <w:rPr>
          <w:b/>
          <w:sz w:val="16"/>
        </w:rPr>
        <w:t xml:space="preserve">[50] </w:t>
      </w:r>
      <w:r>
        <w:rPr>
          <w:sz w:val="16"/>
        </w:rPr>
        <w:t>Oral B.; Eryiğit G., "Fusion of visual representations for multimodal information extraction from unstructured transactional documents," International Journal on Document Analysis and Recognition, 2022, doi: 10.1007/s10032-022-00399-3.</w:t>
      </w:r>
    </w:p>
    <w:p>
      <w:pPr>
        <w:spacing w:line="240" w:lineRule="auto" w:before="0" w:after="40"/>
        <w:ind w:left="432" w:hanging="432"/>
        <w:jc w:val="both"/>
      </w:pPr>
      <w:r>
        <w:rPr>
          <w:b/>
          <w:sz w:val="16"/>
        </w:rPr>
        <w:t xml:space="preserve">[51] </w:t>
      </w:r>
      <w:r>
        <w:rPr>
          <w:sz w:val="16"/>
        </w:rPr>
        <w:t>Akkaya Y.; Simsek M.; Kantarci B.; Khan S., "On cropped versus uncropped training sets in tabular structure detection," Neurocomputing, 2022, doi: 10.1016/j.neucom.2022.09.094.</w:t>
      </w:r>
    </w:p>
    <w:p>
      <w:pPr>
        <w:spacing w:line="240" w:lineRule="auto" w:before="0" w:after="40"/>
        <w:ind w:left="432" w:hanging="432"/>
        <w:jc w:val="both"/>
      </w:pPr>
      <w:r>
        <w:rPr>
          <w:b/>
          <w:sz w:val="16"/>
        </w:rPr>
        <w:t xml:space="preserve">[52] </w:t>
      </w:r>
      <w:r>
        <w:rPr>
          <w:sz w:val="16"/>
        </w:rPr>
        <w:t>Lee E.; Park J.; Koo H.I.; Cho N.I., "Deep-learning and graph-based approach to table structure recognition," Multimedia Tools and Applications, 2022, doi: 10.1007/s11042-021-11819-7.</w:t>
      </w:r>
    </w:p>
    <w:p>
      <w:pPr>
        <w:spacing w:line="240" w:lineRule="auto" w:before="0" w:after="40"/>
        <w:ind w:left="432" w:hanging="432"/>
        <w:jc w:val="both"/>
      </w:pPr>
      <w:r>
        <w:rPr>
          <w:b/>
          <w:sz w:val="16"/>
        </w:rPr>
        <w:t xml:space="preserve">[53] </w:t>
      </w:r>
      <w:r>
        <w:rPr>
          <w:sz w:val="16"/>
        </w:rPr>
        <w:t>Biesner D.; Ramamurthy R.; Stenzel R.; Lübbering M.; Hillebrand L.; Ladi A.; Pielka M.; Loitz R.; Bauckhage C.; Sifa R., "Anonymization of German financial documents using neural network-based language models with contextual word representations," International Journal of Data Science and Analytics, 2022, doi: 10.1007/s41060-021-00285-x.</w:t>
      </w:r>
    </w:p>
    <w:p>
      <w:pPr>
        <w:spacing w:line="240" w:lineRule="auto" w:before="0" w:after="40"/>
        <w:ind w:left="432" w:hanging="432"/>
        <w:jc w:val="both"/>
      </w:pPr>
      <w:r>
        <w:rPr>
          <w:b/>
          <w:sz w:val="16"/>
        </w:rPr>
        <w:t xml:space="preserve">[54] </w:t>
      </w:r>
      <w:r>
        <w:rPr>
          <w:sz w:val="16"/>
        </w:rPr>
        <w:t>Kim C.-Y.; Jeong J.-G.; Choi S.-W.; Lee E.-B., "An AI-Based Automatic Risks Detection Solution for Plant Owner’s Technical Requirements in Equipment Purchase Order," Sustainability (Switzerland), 2022, doi: 10.3390/su141610010.</w:t>
      </w:r>
    </w:p>
    <w:p>
      <w:pPr>
        <w:spacing w:line="240" w:lineRule="auto" w:before="0" w:after="40"/>
        <w:ind w:left="432" w:hanging="432"/>
        <w:jc w:val="both"/>
      </w:pPr>
      <w:r>
        <w:rPr>
          <w:b/>
          <w:sz w:val="16"/>
        </w:rPr>
        <w:t xml:space="preserve">[55] </w:t>
      </w:r>
      <w:r>
        <w:rPr>
          <w:sz w:val="16"/>
        </w:rPr>
        <w:t>Chazhoor A.; Sarobin V.R., "Intelligent automation of invoice parsing using computer vision techniques," Multimedia Tools and Applications, 2022, doi: 10.1007/s11042-022-12916-x.</w:t>
      </w:r>
    </w:p>
    <w:p>
      <w:pPr>
        <w:spacing w:line="240" w:lineRule="auto" w:before="0" w:after="40"/>
        <w:ind w:left="432" w:hanging="432"/>
        <w:jc w:val="both"/>
      </w:pPr>
      <w:r>
        <w:rPr>
          <w:b/>
          <w:sz w:val="16"/>
        </w:rPr>
        <w:t xml:space="preserve">[56] </w:t>
      </w:r>
      <w:r>
        <w:rPr>
          <w:sz w:val="16"/>
        </w:rPr>
        <w:t>Chen Y.; Hu B.; Liu Y., "Optimizing document management and retrieval with multimodal transformers," PLOS ONE, 2025, doi: 10.1371/journal.pone.0315890.</w:t>
      </w:r>
    </w:p>
    <w:p>
      <w:pPr>
        <w:spacing w:line="240" w:lineRule="auto" w:before="0" w:after="40"/>
        <w:ind w:left="432" w:hanging="432"/>
        <w:jc w:val="both"/>
      </w:pPr>
      <w:r>
        <w:rPr>
          <w:b/>
          <w:sz w:val="16"/>
        </w:rPr>
        <w:t xml:space="preserve">[57] </w:t>
      </w:r>
      <w:r>
        <w:rPr>
          <w:sz w:val="16"/>
        </w:rPr>
        <w:t>Zhang H.; Dong B.; Zheng Q.; Feng B.; Xu B.; Wu H., "All-content text recognition method for financial ticket images," Multimedia Tools and Applications, 2022, doi: 10.1007/s11042-022-12741-2.</w:t>
      </w:r>
    </w:p>
    <w:p>
      <w:pPr>
        <w:spacing w:line="240" w:lineRule="auto" w:before="0" w:after="40"/>
        <w:ind w:left="432" w:hanging="432"/>
        <w:jc w:val="both"/>
      </w:pPr>
      <w:r>
        <w:rPr>
          <w:b/>
          <w:sz w:val="16"/>
        </w:rPr>
        <w:t xml:space="preserve">[58] </w:t>
      </w:r>
      <w:r>
        <w:rPr>
          <w:sz w:val="16"/>
        </w:rPr>
        <w:t>Sarkhel R.; Nandi A., "Improving information extraction from visually rich documents using visual span representations," Proceedings of the VLDB Endowment, 2021, doi: 10.14778/3446095.3446104.</w:t>
      </w:r>
    </w:p>
    <w:p>
      <w:pPr>
        <w:spacing w:line="240" w:lineRule="auto" w:before="0" w:after="40"/>
        <w:ind w:left="432" w:hanging="432"/>
        <w:jc w:val="both"/>
      </w:pPr>
      <w:r>
        <w:rPr>
          <w:b/>
          <w:sz w:val="16"/>
        </w:rPr>
        <w:t xml:space="preserve">[59] </w:t>
      </w:r>
      <w:r>
        <w:rPr>
          <w:sz w:val="16"/>
        </w:rPr>
        <w:t>Hashmi K.A.; Liwicki M.; Stricker D.; Afzal M.A.; Afzal M.A.; Afzal M.Z., "Current Status and Performance Analysis of Table Recognition in Document Images with Deep Neural Networks," IEEE Access, 2021, doi: 10.1109/access.2021.3087865.</w:t>
      </w:r>
    </w:p>
    <w:p>
      <w:pPr>
        <w:spacing w:line="240" w:lineRule="auto" w:before="0" w:after="40"/>
        <w:ind w:left="432" w:hanging="432"/>
        <w:jc w:val="both"/>
      </w:pPr>
      <w:r>
        <w:rPr>
          <w:b/>
          <w:sz w:val="16"/>
        </w:rPr>
        <w:t xml:space="preserve">[60] </w:t>
      </w:r>
      <w:r>
        <w:rPr>
          <w:sz w:val="16"/>
        </w:rPr>
        <w:t>Baviskar D.; Ahirrao S.; Kotecha K., "Multi-Layout Unstructured Invoice Documents Dataset: A Dataset for Template-Free Invoice Processing and Its Evaluation Using AI Approaches," IEEE Access, 2021, doi: 10.1109/access.2021.3096739.</w:t>
      </w:r>
    </w:p>
    <w:p>
      <w:pPr>
        <w:spacing w:line="240" w:lineRule="auto" w:before="0" w:after="40"/>
        <w:ind w:left="432" w:hanging="432"/>
        <w:jc w:val="both"/>
      </w:pPr>
      <w:r>
        <w:rPr>
          <w:b/>
          <w:sz w:val="16"/>
        </w:rPr>
        <w:t xml:space="preserve">[61] </w:t>
      </w:r>
      <w:r>
        <w:rPr>
          <w:sz w:val="16"/>
        </w:rPr>
        <w:t>Hashmi K.A.; Stricker D.; Liwicki M.; Afzal M.N.; Afzal M.Z., "Guided table structure recognition through anchor optimization," IEEE Access, 2021, doi: 10.1109/access.2021.3103413.</w:t>
      </w:r>
    </w:p>
    <w:p>
      <w:pPr>
        <w:spacing w:line="240" w:lineRule="auto" w:before="0" w:after="40"/>
        <w:ind w:left="432" w:hanging="432"/>
        <w:jc w:val="both"/>
      </w:pPr>
      <w:r>
        <w:rPr>
          <w:b/>
          <w:sz w:val="16"/>
        </w:rPr>
        <w:t xml:space="preserve">[62] </w:t>
      </w:r>
      <w:r>
        <w:rPr>
          <w:sz w:val="16"/>
        </w:rPr>
        <w:t>Aladhadh S.; Rehman H.U.; Qamar A.M.; Khan R.U., "Recurrent convolutional neural network MSER-based approach for payable document processing," Computers, Materials and Continua, 2021, doi: 10.32604/cmc.2021.018724.</w:t>
      </w:r>
    </w:p>
    <w:p>
      <w:pPr>
        <w:spacing w:line="240" w:lineRule="auto" w:before="0" w:after="40"/>
        <w:ind w:left="432" w:hanging="432"/>
        <w:jc w:val="both"/>
      </w:pPr>
      <w:r>
        <w:rPr>
          <w:b/>
          <w:sz w:val="16"/>
        </w:rPr>
        <w:t xml:space="preserve">[63] </w:t>
      </w:r>
      <w:r>
        <w:rPr>
          <w:sz w:val="16"/>
        </w:rPr>
        <w:t>Dergachov K.; Krasnov L.; Bilozerskyi V.; Zymovin A., "DATA PRE-PROCESSING TO INCREASE THE QUALITY OF OPTICAL TEXT RECOGNITION SYSTEMS; [ПРЕДВАРИТЕЛЬНАЯ ОБРАБОТКА ДАННЫХ ДЛЯ ПОВЫШЕНИЯ КАЧЕСТВА СИСТЕМ ОПТИЧЕСКОГО РАСПОЗНАВАНИЯ ТЕКСТА]; [ПОПЕРЕДНЯ ОБРОБКА ДАНИХ ДЛЯ ПІДВИЩЕННЯ ЯКОСТІ СИСТЕМ ОПТИЧНОГО РОЗПІЗНАВАННЯ ТЕКСТУ]," Radioelectronic and Computer Systems, 2021, doi: 10.32620/reks.2021.4.15.</w:t>
      </w:r>
    </w:p>
    <w:p>
      <w:pPr>
        <w:spacing w:line="240" w:lineRule="auto" w:before="0" w:after="40"/>
        <w:ind w:left="432" w:hanging="432"/>
        <w:jc w:val="both"/>
      </w:pPr>
      <w:r>
        <w:rPr>
          <w:b/>
          <w:sz w:val="16"/>
        </w:rPr>
        <w:t xml:space="preserve">[64] </w:t>
      </w:r>
      <w:r>
        <w:rPr>
          <w:sz w:val="16"/>
        </w:rPr>
        <w:t>Oral B.; Emekligil E.; Arslan S.; Eryiǧit G., "Information Extraction from Text Intensive and Visually Rich Banking Documents," Information Processing and Management, 2020, doi: 10.1016/j.ipm.2020.102361.</w:t>
      </w:r>
    </w:p>
    <w:p>
      <w:pPr>
        <w:spacing w:line="240" w:lineRule="auto" w:before="0" w:after="40"/>
        <w:ind w:left="432" w:hanging="432"/>
        <w:jc w:val="both"/>
      </w:pPr>
      <w:r>
        <w:rPr>
          <w:b/>
          <w:sz w:val="16"/>
        </w:rPr>
        <w:t xml:space="preserve">[65] </w:t>
      </w:r>
      <w:r>
        <w:rPr>
          <w:sz w:val="16"/>
        </w:rPr>
        <w:t>Giovannini, S; Coppini, F; Gemelli, A; Marinai, S, "BoundingDocs: a Unified Dataset for Document Question Answering with Spatial Annotations," INTERNATIONAL JOURNAL ON DOCUMENT ANALYSIS AND RECOGNITION, 2026, doi: 10.1007/s10032-025-00563-5.</w:t>
      </w:r>
    </w:p>
    <w:p>
      <w:pPr>
        <w:spacing w:line="240" w:lineRule="auto" w:before="0" w:after="40"/>
        <w:ind w:left="432" w:hanging="432"/>
        <w:jc w:val="both"/>
      </w:pPr>
      <w:r>
        <w:rPr>
          <w:b/>
          <w:sz w:val="16"/>
        </w:rPr>
        <w:t xml:space="preserve">[66] </w:t>
      </w:r>
      <w:r>
        <w:rPr>
          <w:sz w:val="16"/>
        </w:rPr>
        <w:t>Raja, S; Mondal, A; Jawahar, CV, "From pixels to tables: reconstructing complex tables from document images," INTERNATIONAL JOURNAL ON DOCUMENT ANALYSIS AND RECOGNITION, 2026, doi: 10.1007/s10032-025-00553-7.</w:t>
      </w:r>
    </w:p>
    <w:p>
      <w:pPr>
        <w:spacing w:line="240" w:lineRule="auto" w:before="0" w:after="40"/>
        <w:ind w:left="432" w:hanging="432"/>
        <w:jc w:val="both"/>
      </w:pPr>
      <w:r>
        <w:rPr>
          <w:b/>
          <w:sz w:val="16"/>
        </w:rPr>
        <w:t xml:space="preserve">[67] </w:t>
      </w:r>
      <w:r>
        <w:rPr>
          <w:sz w:val="16"/>
        </w:rPr>
        <w:t>Nguyen M.-T.; Son N.H.; Linh L.T., "Gain more with less: Extracting information from business documents with small data," Expert Systems with Applications, 2023, doi: 10.1016/j.eswa.2022.119274.</w:t>
      </w:r>
    </w:p>
    <w:p>
      <w:pPr>
        <w:spacing w:line="240" w:lineRule="auto" w:before="0" w:after="40"/>
        <w:ind w:left="432" w:hanging="432"/>
        <w:jc w:val="both"/>
      </w:pPr>
      <w:r>
        <w:rPr>
          <w:b/>
          <w:sz w:val="16"/>
        </w:rPr>
        <w:t xml:space="preserve">[68] </w:t>
      </w:r>
      <w:r>
        <w:rPr>
          <w:sz w:val="16"/>
        </w:rPr>
        <w:t>Fan J.; Wang D.; Zheng Y., "Smart Money, Greener Future: AI-Enhanced English Financial Text Processing for ESG Investment Decisions," Sustainability (Switzerland), 2025, doi: 10.3390/su17156971.</w:t>
      </w:r>
    </w:p>
    <w:p>
      <w:pPr>
        <w:spacing w:line="240" w:lineRule="auto" w:before="0" w:after="40"/>
        <w:ind w:left="432" w:hanging="432"/>
        <w:jc w:val="both"/>
      </w:pPr>
      <w:r>
        <w:rPr>
          <w:b/>
          <w:sz w:val="16"/>
        </w:rPr>
        <w:t xml:space="preserve">[69] </w:t>
      </w:r>
      <w:r>
        <w:rPr>
          <w:sz w:val="16"/>
        </w:rPr>
        <w:t>Singh D., "OCR-Driven Automation: A Case Study on Document Processing Using Tesseract and OpenCV," Dianwang Jishu/Power System Technology, 2025, doi: 10.52783/pst.1715.</w:t>
      </w:r>
    </w:p>
    <w:p>
      <w:pPr>
        <w:spacing w:line="240" w:lineRule="auto" w:before="0" w:after="40"/>
        <w:ind w:left="432" w:hanging="432"/>
        <w:jc w:val="both"/>
      </w:pPr>
      <w:r>
        <w:rPr>
          <w:b/>
          <w:sz w:val="16"/>
        </w:rPr>
        <w:t xml:space="preserve">[70] </w:t>
      </w:r>
      <w:r>
        <w:rPr>
          <w:sz w:val="16"/>
        </w:rPr>
        <w:t>Feng H.; Zhou W.; Deng J.; Wang X., "DocScanner: Robust Document Image Rectification with Progressive Learning," International Journal of Computer Vision, 2025, doi: 10.1007/s11263-025-02431-5.</w:t>
      </w:r>
    </w:p>
    <w:p>
      <w:pPr>
        <w:spacing w:line="240" w:lineRule="auto" w:before="0" w:after="40"/>
        <w:ind w:left="432" w:hanging="432"/>
        <w:jc w:val="both"/>
      </w:pPr>
      <w:r>
        <w:rPr>
          <w:b/>
          <w:sz w:val="16"/>
        </w:rPr>
        <w:t xml:space="preserve">[71] </w:t>
      </w:r>
      <w:r>
        <w:rPr>
          <w:sz w:val="16"/>
        </w:rPr>
        <w:t>Lee E.; Jo Y.; Lee S.; Kim S.H.; Cho N.I., "Single-stage table structure recognition approach via efficient sequence modeling," Pattern Recognition Letters, 2025, doi: 10.1016/j.patrec.2025.07.022.</w:t>
      </w:r>
    </w:p>
    <w:p>
      <w:pPr>
        <w:spacing w:line="240" w:lineRule="auto" w:before="0" w:after="40"/>
        <w:ind w:left="432" w:hanging="432"/>
        <w:jc w:val="both"/>
      </w:pPr>
      <w:r>
        <w:rPr>
          <w:b/>
          <w:sz w:val="16"/>
        </w:rPr>
        <w:t xml:space="preserve">[72] </w:t>
      </w:r>
      <w:r>
        <w:rPr>
          <w:sz w:val="16"/>
        </w:rPr>
        <w:t>Wadmare J.; Patil S.R.; Kolte D.; Bhatia K.; Desai P.; Wadmare G., "Transforming images into words: optical character recognition solutions for image text extraction," IAES International Journal of Artificial Intelligence, 2025, doi: 10.11591/ijai.v14.i4.pp3412-3420.</w:t>
      </w:r>
    </w:p>
    <w:p>
      <w:pPr>
        <w:spacing w:line="240" w:lineRule="auto" w:before="0" w:after="40"/>
        <w:ind w:left="432" w:hanging="432"/>
        <w:jc w:val="both"/>
      </w:pPr>
      <w:r>
        <w:rPr>
          <w:b/>
          <w:sz w:val="16"/>
        </w:rPr>
        <w:t xml:space="preserve">[73] </w:t>
      </w:r>
      <w:r>
        <w:rPr>
          <w:sz w:val="16"/>
        </w:rPr>
        <w:t>Zhang W.; Liu F.; Xu Z.; Bi Z., "Geometry-aware and autonomous reading-order learning for OCR-free document parsing," International Journal of Web Information Systems, 2025, doi: 10.1108/ijwis-07-2025-0204.</w:t>
      </w:r>
    </w:p>
    <w:p>
      <w:pPr>
        <w:spacing w:line="240" w:lineRule="auto" w:before="0" w:after="40"/>
        <w:ind w:left="432" w:hanging="432"/>
        <w:jc w:val="both"/>
      </w:pPr>
      <w:r>
        <w:rPr>
          <w:b/>
          <w:sz w:val="16"/>
        </w:rPr>
        <w:t xml:space="preserve">[74] </w:t>
      </w:r>
      <w:r>
        <w:rPr>
          <w:sz w:val="16"/>
        </w:rPr>
        <w:t>Yan Z.; Ye Z.; Ge J.; Qin J.; Liu J.; Cheng Y.; Gurrin C., "DocExtractNet: A novel framework for enhanced information extraction from business documents," Information Processing and Management, 2025, doi: 10.1016/j.ipm.2024.104046.</w:t>
      </w:r>
    </w:p>
    <w:p>
      <w:pPr>
        <w:spacing w:line="240" w:lineRule="auto" w:before="0" w:after="40"/>
        <w:ind w:left="432" w:hanging="432"/>
        <w:jc w:val="both"/>
      </w:pPr>
      <w:r>
        <w:rPr>
          <w:b/>
          <w:sz w:val="16"/>
        </w:rPr>
        <w:t xml:space="preserve">[75] </w:t>
      </w:r>
      <w:r>
        <w:rPr>
          <w:sz w:val="16"/>
        </w:rPr>
        <w:t>Tran A.C.; Le B.T.; Nguyen H.T., "Efficiency evaluation of filter sizes on graph convolutional neural networks for information extraction from receipts," International Journal of Information Technology (Singapore), 2025, doi: 10.1007/s41870-024-02089-1.</w:t>
      </w:r>
    </w:p>
    <w:p>
      <w:pPr>
        <w:spacing w:line="240" w:lineRule="auto" w:before="0" w:after="40"/>
        <w:ind w:left="432" w:hanging="432"/>
        <w:jc w:val="both"/>
      </w:pPr>
      <w:r>
        <w:rPr>
          <w:b/>
          <w:sz w:val="16"/>
        </w:rPr>
        <w:t xml:space="preserve">[76] </w:t>
      </w:r>
      <w:r>
        <w:rPr>
          <w:sz w:val="16"/>
        </w:rPr>
        <w:t>Rombach A.M.; Lahann J.; Niesen T.; Fettke P., "Utilizing Deep Learning for Field-Level Information Extraction from German Real Estate Tax Notices," Journal of Emerging Technologies in Accounting, 2025, doi: 10.2308/jeta-2023-028.</w:t>
      </w:r>
    </w:p>
    <w:p>
      <w:pPr>
        <w:spacing w:line="240" w:lineRule="auto" w:before="0" w:after="40"/>
        <w:ind w:left="432" w:hanging="432"/>
        <w:jc w:val="both"/>
      </w:pPr>
      <w:r>
        <w:rPr>
          <w:b/>
          <w:sz w:val="16"/>
        </w:rPr>
        <w:t xml:space="preserve">[77] </w:t>
      </w:r>
      <w:r>
        <w:rPr>
          <w:sz w:val="16"/>
        </w:rPr>
        <w:t>Arshad A.; Moetesum M.; Hasan A.U.; Shafait F., "A Graph-Augmented Multi-Stage Transformer Model for Document Layout Understanding," International Journal on Document Analysis and Recognition, 2025, doi: 10.1007/s10032-025-00566-2.</w:t>
      </w:r>
    </w:p>
    <w:p>
      <w:pPr>
        <w:spacing w:line="240" w:lineRule="auto" w:before="0" w:after="40"/>
        <w:ind w:left="432" w:hanging="432"/>
        <w:jc w:val="both"/>
      </w:pPr>
      <w:r>
        <w:rPr>
          <w:b/>
          <w:sz w:val="16"/>
        </w:rPr>
        <w:t xml:space="preserve">[78] </w:t>
      </w:r>
      <w:r>
        <w:rPr>
          <w:sz w:val="16"/>
        </w:rPr>
        <w:t>Wang H.; Zhou H.B.; Zhang Y.; Chen K., "Word Length-Aware Text Spotting: Enhancing Dense Text Detection and Recognition in Visually Rich Documents," IEEE Transactions on Instrumentation and Measurement, 2025, doi: 10.1109/TIM.2025.3560748.</w:t>
      </w:r>
    </w:p>
    <w:p>
      <w:pPr>
        <w:spacing w:line="240" w:lineRule="auto" w:before="0" w:after="40"/>
        <w:ind w:left="432" w:hanging="432"/>
        <w:jc w:val="both"/>
      </w:pPr>
      <w:r>
        <w:rPr>
          <w:b/>
          <w:sz w:val="16"/>
        </w:rPr>
        <w:t xml:space="preserve">[79] </w:t>
      </w:r>
      <w:r>
        <w:rPr>
          <w:sz w:val="16"/>
        </w:rPr>
        <w:t>Chen Z.; Zhang Y.; Yan J.; Wei X.; Xian W.; Mao Q.; Qin Y.; Gao T., "FE-WRNet: Frequency-Enhanced Network for Visible Watermark Removal in Document Images," Applied Sciences (Switzerland), 2025, doi: 10.3390/app152212216.</w:t>
      </w:r>
    </w:p>
    <w:p>
      <w:pPr>
        <w:spacing w:line="240" w:lineRule="auto" w:before="0" w:after="40"/>
        <w:ind w:left="432" w:hanging="432"/>
        <w:jc w:val="both"/>
      </w:pPr>
      <w:r>
        <w:rPr>
          <w:b/>
          <w:sz w:val="16"/>
        </w:rPr>
        <w:t xml:space="preserve">[80] </w:t>
      </w:r>
      <w:r>
        <w:rPr>
          <w:sz w:val="16"/>
        </w:rPr>
        <w:t>Yang Z.; Hua W.; Song S.; Yao C.; Zhu Y.; Cheng W.; Bai X., "Generative compositor for few-shot visual information extraction," Pattern Recognition, 2025, doi: 10.1016/j.patcog.2025.111624.</w:t>
      </w:r>
    </w:p>
    <w:p>
      <w:pPr>
        <w:spacing w:line="240" w:lineRule="auto" w:before="0" w:after="40"/>
        <w:ind w:left="432" w:hanging="432"/>
        <w:jc w:val="both"/>
      </w:pPr>
      <w:r>
        <w:rPr>
          <w:b/>
          <w:sz w:val="16"/>
        </w:rPr>
        <w:t xml:space="preserve">[81] </w:t>
      </w:r>
      <w:r>
        <w:rPr>
          <w:sz w:val="16"/>
        </w:rPr>
        <w:t>Wang S.; Ge J.; Zhang J.; He H.; Zhang Y., "Image restoration and key field alignment for misaligned overlapping text in secondary printing document images," Frontiers in Artificial Intelligence, 2025, doi: 10.3389/frai.2025.1616007.</w:t>
      </w:r>
    </w:p>
    <w:p>
      <w:pPr>
        <w:spacing w:line="240" w:lineRule="auto" w:before="0" w:after="40"/>
        <w:ind w:left="432" w:hanging="432"/>
        <w:jc w:val="both"/>
      </w:pPr>
      <w:r>
        <w:rPr>
          <w:b/>
          <w:sz w:val="16"/>
        </w:rPr>
        <w:t xml:space="preserve">[82] </w:t>
      </w:r>
      <w:r>
        <w:rPr>
          <w:sz w:val="16"/>
        </w:rPr>
        <w:t>Zhang J.; Zhang Y., "DocRouter: Prompt guided vision transformer and Mixture of Experts connector for document understanding," Information Fusion, 2025, doi: 10.1016/j.inffus.2025.103206.</w:t>
      </w:r>
    </w:p>
    <w:p>
      <w:pPr>
        <w:spacing w:line="240" w:lineRule="auto" w:before="0" w:after="40"/>
        <w:ind w:left="432" w:hanging="432"/>
        <w:jc w:val="both"/>
      </w:pPr>
      <w:r>
        <w:rPr>
          <w:b/>
          <w:sz w:val="16"/>
        </w:rPr>
        <w:t xml:space="preserve">[83] </w:t>
      </w:r>
      <w:r>
        <w:rPr>
          <w:sz w:val="16"/>
        </w:rPr>
        <w:t>Zhang Z.; Zhu M.; Yang X.; Li T., "EJRSNet: A joint mechanism network for object detection with efficient receiving and sending of hierarchical feature information," Expert Systems with Applications, 2025, doi: 10.1016/j.eswa.2024.126375.</w:t>
      </w:r>
    </w:p>
    <w:p>
      <w:pPr>
        <w:spacing w:line="240" w:lineRule="auto" w:before="0" w:after="40"/>
        <w:ind w:left="432" w:hanging="432"/>
        <w:jc w:val="both"/>
      </w:pPr>
      <w:r>
        <w:rPr>
          <w:b/>
          <w:sz w:val="16"/>
        </w:rPr>
        <w:t xml:space="preserve">[84] </w:t>
      </w:r>
      <w:r>
        <w:rPr>
          <w:sz w:val="16"/>
        </w:rPr>
        <w:t>Gayer A.; Arlazarov V.V., "MULDT: Multilingual Ultra-Lightweight Document Text Detection for Embedded Devices," IEEE Access, 2024, doi: 10.1109/access.2024.3474616.</w:t>
      </w:r>
    </w:p>
    <w:p>
      <w:pPr>
        <w:spacing w:line="240" w:lineRule="auto" w:before="0" w:after="40"/>
        <w:ind w:left="432" w:hanging="432"/>
        <w:jc w:val="both"/>
      </w:pPr>
      <w:r>
        <w:rPr>
          <w:b/>
          <w:sz w:val="16"/>
        </w:rPr>
        <w:t xml:space="preserve">[85] </w:t>
      </w:r>
      <w:r>
        <w:rPr>
          <w:sz w:val="16"/>
        </w:rPr>
        <w:t>Zyrek M.; Tarasiewicz T.; Sadek S., "Task-Driven Real-World Super-Resolution of Document Scans," Applied Sciences, 2025, doi: 10.3390/app15020780.</w:t>
      </w:r>
    </w:p>
    <w:p>
      <w:pPr>
        <w:spacing w:line="240" w:lineRule="auto" w:before="0" w:after="40"/>
        <w:ind w:left="432" w:hanging="432"/>
        <w:jc w:val="both"/>
      </w:pPr>
      <w:r>
        <w:rPr>
          <w:b/>
          <w:sz w:val="16"/>
        </w:rPr>
        <w:t xml:space="preserve">[86] </w:t>
      </w:r>
      <w:r>
        <w:rPr>
          <w:sz w:val="16"/>
        </w:rPr>
        <w:t>Sánchez J.; Cuervo-Londoño G.A., "A Bag-of-Words Approach for Information Extraction from Electricity Invoices," AI (Switzerland), 2024, doi: 10.3390/ai5040091.</w:t>
      </w:r>
    </w:p>
    <w:p>
      <w:pPr>
        <w:spacing w:line="240" w:lineRule="auto" w:before="0" w:after="40"/>
        <w:ind w:left="432" w:hanging="432"/>
        <w:jc w:val="both"/>
      </w:pPr>
      <w:r>
        <w:rPr>
          <w:b/>
          <w:sz w:val="16"/>
        </w:rPr>
        <w:t xml:space="preserve">[87] </w:t>
      </w:r>
      <w:r>
        <w:rPr>
          <w:sz w:val="16"/>
        </w:rPr>
        <w:t>Hamri M.; Devanne M.; Weber J.; Hassenforder M., "Document Information Extraction: An Analysis of Invoice Anatomy," Applied Computational Intelligence and Soft Computing, 2024, doi: 10.1155/2024/7599415.</w:t>
      </w:r>
    </w:p>
    <w:p>
      <w:pPr>
        <w:spacing w:line="240" w:lineRule="auto" w:before="0" w:after="40"/>
        <w:ind w:left="432" w:hanging="432"/>
        <w:jc w:val="both"/>
      </w:pPr>
      <w:r>
        <w:rPr>
          <w:b/>
          <w:sz w:val="16"/>
        </w:rPr>
        <w:t xml:space="preserve">[88] </w:t>
      </w:r>
      <w:r>
        <w:rPr>
          <w:sz w:val="16"/>
        </w:rPr>
        <w:t>Kiatphaisansophon P.; Wanvarie D.; Cooharojananone N., "Efficient Text Bounding Box Identification Using Mask R-CNN: Case of Thai Documents," IEEE Access, 2024, doi: 10.1109/access.2024.3383911.</w:t>
      </w:r>
    </w:p>
    <w:p>
      <w:pPr>
        <w:spacing w:line="240" w:lineRule="auto" w:before="0" w:after="40"/>
        <w:ind w:left="432" w:hanging="432"/>
        <w:jc w:val="both"/>
      </w:pPr>
      <w:r>
        <w:rPr>
          <w:b/>
          <w:sz w:val="16"/>
        </w:rPr>
        <w:t xml:space="preserve">[89] </w:t>
      </w:r>
      <w:r>
        <w:rPr>
          <w:sz w:val="16"/>
        </w:rPr>
        <w:t>Kim S.; Lai P.; Khan D.; Zhao K.; Le B.; Luchianov A.; Yu M.; Wang P., "Configurable Customized Information Extraction and Processing Pipeline," International Journal of Pattern Recognition and Artificial Intelligence, 2024, doi: 10.1142/s0218001424590122.</w:t>
      </w:r>
    </w:p>
    <w:p>
      <w:pPr>
        <w:spacing w:line="240" w:lineRule="auto" w:before="0" w:after="40"/>
        <w:ind w:left="432" w:hanging="432"/>
        <w:jc w:val="both"/>
      </w:pPr>
      <w:r>
        <w:rPr>
          <w:b/>
          <w:sz w:val="16"/>
        </w:rPr>
        <w:t xml:space="preserve">[90] </w:t>
      </w:r>
      <w:r>
        <w:rPr>
          <w:sz w:val="16"/>
        </w:rPr>
        <w:t>Krieger F.; Drews P.; Funk B., "Automated invoice processing: Machine learning-based information extraction for long tail suppliers," Intelligent Systems with Applications, 2023, doi: 10.1016/j.iswa.2023.200285.</w:t>
      </w:r>
    </w:p>
    <w:p>
      <w:pPr>
        <w:spacing w:line="240" w:lineRule="auto" w:before="0" w:after="40"/>
        <w:ind w:left="432" w:hanging="432"/>
        <w:jc w:val="both"/>
      </w:pPr>
      <w:r>
        <w:rPr>
          <w:b/>
          <w:sz w:val="16"/>
        </w:rPr>
        <w:t xml:space="preserve">[91] </w:t>
      </w:r>
      <w:r>
        <w:rPr>
          <w:sz w:val="16"/>
        </w:rPr>
        <w:t>Chen C.-H.; Huang K.-W., "Document Classification Using Lightweight Neural Network," Journal of Internet Technology, 2023, doi: 10.53106/160792642023122407012.</w:t>
      </w:r>
    </w:p>
    <w:p>
      <w:pPr>
        <w:spacing w:line="240" w:lineRule="auto" w:before="0" w:after="40"/>
        <w:ind w:left="432" w:hanging="432"/>
        <w:jc w:val="both"/>
      </w:pPr>
      <w:r>
        <w:rPr>
          <w:b/>
          <w:sz w:val="16"/>
        </w:rPr>
        <w:t xml:space="preserve">[92] </w:t>
      </w:r>
      <w:r>
        <w:rPr>
          <w:sz w:val="16"/>
        </w:rPr>
        <w:t>Cao P.; Wu J., "GraphRevisedIE: Multimodal information extraction with graph-revised network," Pattern Recognition, 2023, doi: 10.1016/j.patcog.2023.109542.</w:t>
      </w:r>
    </w:p>
    <w:p>
      <w:pPr>
        <w:spacing w:line="240" w:lineRule="auto" w:before="0" w:after="40"/>
        <w:ind w:left="432" w:hanging="432"/>
        <w:jc w:val="both"/>
      </w:pPr>
      <w:r>
        <w:rPr>
          <w:b/>
          <w:sz w:val="16"/>
        </w:rPr>
        <w:t xml:space="preserve">[93] </w:t>
      </w:r>
      <w:r>
        <w:rPr>
          <w:sz w:val="16"/>
        </w:rPr>
        <w:t>Tao X.; Han Y.; Jin Y.; Wang Z., "FLIP: A Novel Feedback Learning-Based Intelligent Plugin Towards Robust Document Text Recognition," Mathematics, 2025, doi: 10.3390/math13030422.</w:t>
      </w:r>
    </w:p>
    <w:p>
      <w:pPr>
        <w:spacing w:line="240" w:lineRule="auto" w:before="0" w:after="40"/>
        <w:ind w:left="432" w:hanging="432"/>
        <w:jc w:val="both"/>
      </w:pPr>
      <w:r>
        <w:rPr>
          <w:b/>
          <w:sz w:val="16"/>
        </w:rPr>
        <w:t xml:space="preserve">[94] </w:t>
      </w:r>
      <w:r>
        <w:rPr>
          <w:sz w:val="16"/>
        </w:rPr>
        <w:t>Chai Y.; Chen M.; Wu H.; Wang S., "Fin-EMRC: An Efficient Machine Reading Comprehension Framework for Financial Entity-Relation Extraction," IEEE Access, 2023, doi: 10.1109/access.2023.3299880.</w:t>
      </w:r>
    </w:p>
    <w:p>
      <w:pPr>
        <w:spacing w:line="240" w:lineRule="auto" w:before="0" w:after="40"/>
        <w:ind w:left="432" w:hanging="432"/>
        <w:jc w:val="both"/>
      </w:pPr>
      <w:r>
        <w:rPr>
          <w:b/>
          <w:sz w:val="16"/>
        </w:rPr>
        <w:t xml:space="preserve">[95] </w:t>
      </w:r>
      <w:r>
        <w:rPr>
          <w:sz w:val="16"/>
        </w:rPr>
        <w:t>Poudel U.; Regmi A.M.; Stamenkovic Z.; Raja S.P., "Applicability of OCR Engines for Text Recognition in Vehicle Number Plates, Receipts and Handwriting," Journal of Circuits, Systems and Computers, 2023, doi: 10.1142/s0218126623503218.</w:t>
      </w:r>
    </w:p>
    <w:p>
      <w:pPr>
        <w:spacing w:line="240" w:lineRule="auto" w:before="0" w:after="40"/>
        <w:ind w:left="432" w:hanging="432"/>
        <w:jc w:val="both"/>
      </w:pPr>
      <w:r>
        <w:rPr>
          <w:b/>
          <w:sz w:val="16"/>
        </w:rPr>
        <w:t xml:space="preserve">[96] </w:t>
      </w:r>
      <w:r>
        <w:rPr>
          <w:sz w:val="16"/>
        </w:rPr>
        <w:t>Cruz F.; Castelli M., "Learning Curves Prediction for a Transformers-Based Model," Emerging Science Journal, 2023, doi: 10.28991/esj-2023-07-05-03.</w:t>
      </w:r>
    </w:p>
    <w:p>
      <w:pPr>
        <w:spacing w:line="240" w:lineRule="auto" w:before="0" w:after="40"/>
        <w:ind w:left="432" w:hanging="432"/>
        <w:jc w:val="both"/>
      </w:pPr>
      <w:r>
        <w:rPr>
          <w:b/>
          <w:sz w:val="16"/>
        </w:rPr>
        <w:t xml:space="preserve">[97] </w:t>
      </w:r>
      <w:r>
        <w:rPr>
          <w:sz w:val="16"/>
        </w:rPr>
        <w:t>Azzam F.; Jaber M.; Saies A.; Kirresh T.; Awadallah R.; Karakra A.; Barghouthi H.; Amarneh S., "The Use of Blockchain Technology and OCR in E-Government for Document Management: Inbound Invoice Management as an Example," Applied Sciences (Switzerland), 2023, doi: 10.3390/app13148463.</w:t>
      </w:r>
    </w:p>
    <w:p>
      <w:pPr>
        <w:spacing w:line="240" w:lineRule="auto" w:before="0" w:after="40"/>
        <w:ind w:left="432" w:hanging="432"/>
        <w:jc w:val="both"/>
      </w:pPr>
      <w:r>
        <w:rPr>
          <w:b/>
          <w:sz w:val="16"/>
        </w:rPr>
        <w:t xml:space="preserve">[98] </w:t>
      </w:r>
      <w:r>
        <w:rPr>
          <w:sz w:val="16"/>
        </w:rPr>
        <w:t>Lin H.-Y.; Hsu C.-Y., "Structured Cluster Detection from Local Feature Learning for Text Region Extraction," Entropy, 2023, doi: 10.3390/e25040658.</w:t>
      </w:r>
    </w:p>
    <w:p>
      <w:pPr>
        <w:spacing w:line="240" w:lineRule="auto" w:before="0" w:after="40"/>
        <w:ind w:left="432" w:hanging="432"/>
        <w:jc w:val="both"/>
      </w:pPr>
      <w:r>
        <w:rPr>
          <w:b/>
          <w:sz w:val="16"/>
        </w:rPr>
        <w:t xml:space="preserve">[99] </w:t>
      </w:r>
      <w:r>
        <w:rPr>
          <w:sz w:val="16"/>
        </w:rPr>
        <w:t>Vincent E.J.; Hari V.S., "Classification of Letter Images from Scanned Invoices using CNN," International Journal of Computing, 2023, doi: 10.47839/ijc.22.3.3232.</w:t>
      </w:r>
    </w:p>
    <w:p>
      <w:pPr>
        <w:spacing w:line="240" w:lineRule="auto" w:before="0" w:after="40"/>
        <w:ind w:left="432" w:hanging="432"/>
        <w:jc w:val="both"/>
      </w:pPr>
      <w:r>
        <w:rPr>
          <w:b/>
          <w:sz w:val="16"/>
        </w:rPr>
        <w:t xml:space="preserve">[100] </w:t>
      </w:r>
      <w:r>
        <w:rPr>
          <w:sz w:val="16"/>
        </w:rPr>
        <w:t>Sayallar C.; Sayar A.; Babalık N., "An OCR Engine for Printed Receipt Images using Deep Learning Techniques," International Journal of Advanced Computer Science and Applications, 2023, doi: 10.14569/ijacsa.2023.0140295.</w:t>
      </w:r>
    </w:p>
    <w:p>
      <w:pPr>
        <w:spacing w:line="240" w:lineRule="auto" w:before="0" w:after="40"/>
        <w:ind w:left="432" w:hanging="432"/>
        <w:jc w:val="both"/>
      </w:pPr>
      <w:r>
        <w:rPr>
          <w:b/>
          <w:sz w:val="16"/>
        </w:rPr>
        <w:t xml:space="preserve">[101] </w:t>
      </w:r>
      <w:r>
        <w:rPr>
          <w:sz w:val="16"/>
        </w:rPr>
        <w:t>Okarma K.; Lech P., "A method supporting fault-tolerant optical text recognition from video sequences recorded with handheld cameras," Engineering Applications of Artificial Intelligence, 2023, doi: 10.1016/j.engappai.2023.106330.</w:t>
      </w:r>
    </w:p>
    <w:p>
      <w:pPr>
        <w:spacing w:line="240" w:lineRule="auto" w:before="0" w:after="40"/>
        <w:ind w:left="432" w:hanging="432"/>
        <w:jc w:val="both"/>
      </w:pPr>
      <w:r>
        <w:rPr>
          <w:b/>
          <w:sz w:val="16"/>
        </w:rPr>
        <w:t xml:space="preserve">[102] </w:t>
      </w:r>
      <w:r>
        <w:rPr>
          <w:sz w:val="16"/>
        </w:rPr>
        <w:t>Yeung O.M.; John J.A.J.A.P.C.M.E.; Muton N.B.R., "Digitizing Receipts with OCR," International Journal of Computing and Digital Systems, 2023, doi: 10.12785/ijcds/140132.</w:t>
      </w:r>
    </w:p>
    <w:p>
      <w:pPr>
        <w:spacing w:line="240" w:lineRule="auto" w:before="0" w:after="40"/>
        <w:ind w:left="432" w:hanging="432"/>
        <w:jc w:val="both"/>
      </w:pPr>
      <w:r>
        <w:rPr>
          <w:b/>
          <w:sz w:val="16"/>
        </w:rPr>
        <w:t xml:space="preserve">[103] </w:t>
      </w:r>
      <w:r>
        <w:rPr>
          <w:sz w:val="16"/>
        </w:rPr>
        <w:t>Arslan H., "End to End Invoice Processing Application Based on Key Fields Extraction," IEEE Access, 2022, doi: 10.1109/access.2022.3192828.</w:t>
      </w:r>
    </w:p>
    <w:p>
      <w:pPr>
        <w:spacing w:line="240" w:lineRule="auto" w:before="0" w:after="40"/>
        <w:ind w:left="432" w:hanging="432"/>
        <w:jc w:val="both"/>
      </w:pPr>
      <w:r>
        <w:rPr>
          <w:b/>
          <w:sz w:val="16"/>
        </w:rPr>
        <w:t xml:space="preserve">[104] </w:t>
      </w:r>
      <w:r>
        <w:rPr>
          <w:sz w:val="16"/>
        </w:rPr>
        <w:t>Kashinath T.; Jain T.; Agrawal Y.; Anand T.; Singh S., "End-to-end table structure recognition and extraction in heterogeneous documents," Applied Soft Computing, 2022, doi: 10.1016/j.asoc.2022.108942.</w:t>
      </w:r>
    </w:p>
    <w:p>
      <w:pPr>
        <w:spacing w:line="240" w:lineRule="auto" w:before="0" w:after="40"/>
        <w:ind w:left="432" w:hanging="432"/>
        <w:jc w:val="both"/>
      </w:pPr>
      <w:r>
        <w:rPr>
          <w:b/>
          <w:sz w:val="16"/>
        </w:rPr>
        <w:t xml:space="preserve">[105] </w:t>
      </w:r>
      <w:r>
        <w:rPr>
          <w:sz w:val="16"/>
        </w:rPr>
        <w:t>Riba P.; Goldmann L.; Terrades O.R.; Rusticus D.; Fornés A.; Lladós J., "Table detection in business document images by message passing networks," Pattern Recognition, 2022, doi: 10.1016/j.patcog.2022.108641.</w:t>
      </w:r>
    </w:p>
    <w:p>
      <w:pPr>
        <w:spacing w:line="240" w:lineRule="auto" w:before="0" w:after="40"/>
        <w:ind w:left="432" w:hanging="432"/>
        <w:jc w:val="both"/>
      </w:pPr>
      <w:r>
        <w:rPr>
          <w:b/>
          <w:sz w:val="16"/>
        </w:rPr>
        <w:t xml:space="preserve">[106] </w:t>
      </w:r>
      <w:r>
        <w:rPr>
          <w:sz w:val="16"/>
        </w:rPr>
        <w:t>Lee W.-T.; Huang C.-C., "Deformable Convolutional Neuron Network Model for Detecting Tables and Columns from Document Images," Journal of Information Science and Engineering, 2022, doi: 10.6688/jise.202211_38(6).0011.</w:t>
      </w:r>
    </w:p>
    <w:p>
      <w:pPr>
        <w:spacing w:line="240" w:lineRule="auto" w:before="0" w:after="40"/>
        <w:ind w:left="432" w:hanging="432"/>
        <w:jc w:val="both"/>
      </w:pPr>
      <w:r>
        <w:rPr>
          <w:b/>
          <w:sz w:val="16"/>
        </w:rPr>
        <w:t xml:space="preserve">[107] </w:t>
      </w:r>
      <w:r>
        <w:rPr>
          <w:sz w:val="16"/>
        </w:rPr>
        <w:t>Tran A.C.; Ho L.T.; Nguyen H.T., "Information Extraction from Invoices by using a Graph Convolutional Neural Network: A Case Study of Vietnamese Stores," IEIE Transactions on Smart Processing and Computing, 2022, doi: 10.5573/ieiespc.2022.11.5.316.</w:t>
      </w:r>
    </w:p>
    <w:p>
      <w:pPr>
        <w:spacing w:line="240" w:lineRule="auto" w:before="0" w:after="40"/>
        <w:ind w:left="432" w:hanging="432"/>
        <w:jc w:val="both"/>
      </w:pPr>
      <w:r>
        <w:rPr>
          <w:b/>
          <w:sz w:val="16"/>
        </w:rPr>
        <w:t xml:space="preserve">[108] </w:t>
      </w:r>
      <w:r>
        <w:rPr>
          <w:sz w:val="16"/>
        </w:rPr>
        <w:t>Yeghiazaryan A.; Khechoyan K.; Nalbandyan G.; Muradyan S., "Tokengrid: Toward More Efficient Data Extraction From Unstructured Documents," IEEE Access, 2022, doi: 10.1109/access.2022.3164674.</w:t>
      </w:r>
    </w:p>
    <w:p>
      <w:pPr>
        <w:spacing w:line="240" w:lineRule="auto" w:before="0" w:after="40"/>
        <w:ind w:left="432" w:hanging="432"/>
        <w:jc w:val="both"/>
      </w:pPr>
      <w:r>
        <w:rPr>
          <w:b/>
          <w:sz w:val="16"/>
        </w:rPr>
        <w:t xml:space="preserve">[109] </w:t>
      </w:r>
      <w:r>
        <w:rPr>
          <w:sz w:val="16"/>
        </w:rPr>
        <w:t>Alshathri S.I.; Vincent D.J.; Hari V.S., "Denoising letter images from scanned invoices using stacked autoencoders," Computers, Materials and Continua, 2022, doi: 10.32604/cmc.2022.022458.</w:t>
      </w:r>
    </w:p>
    <w:p>
      <w:pPr>
        <w:spacing w:line="240" w:lineRule="auto" w:before="0" w:after="40"/>
        <w:ind w:left="432" w:hanging="432"/>
        <w:jc w:val="both"/>
      </w:pPr>
      <w:r>
        <w:rPr>
          <w:b/>
          <w:sz w:val="16"/>
        </w:rPr>
        <w:t xml:space="preserve">[110] </w:t>
      </w:r>
      <w:r>
        <w:rPr>
          <w:sz w:val="16"/>
        </w:rPr>
        <w:t>Kumar M.; Shalu; Dureja A., "OCR-CRNN (WBS): an optical character recognition system based on CRNN and CTC loss for document image processing," International Journal of Information Technology, 2025, doi: 10.1007/s41870-025-02540-x.</w:t>
      </w:r>
    </w:p>
    <w:p>
      <w:pPr>
        <w:spacing w:line="240" w:lineRule="auto" w:before="0" w:after="40"/>
        <w:ind w:left="432" w:hanging="432"/>
        <w:jc w:val="both"/>
      </w:pPr>
      <w:r>
        <w:rPr>
          <w:b/>
          <w:sz w:val="16"/>
        </w:rPr>
        <w:t xml:space="preserve">[111] </w:t>
      </w:r>
      <w:r>
        <w:rPr>
          <w:sz w:val="16"/>
        </w:rPr>
        <w:t>Carbonell M.; Fornés A.; Villegas M., "A neural model for text localization, transcription and named entity recognition in documents," Pattern Recognition Letters, 2020, doi: 10.1016/j.patrec.2020.05.029.</w:t>
      </w:r>
    </w:p>
    <w:p>
      <w:pPr>
        <w:spacing w:line="240" w:lineRule="auto" w:before="0" w:after="40"/>
        <w:ind w:left="432" w:hanging="432"/>
        <w:jc w:val="both"/>
      </w:pPr>
      <w:r>
        <w:rPr>
          <w:b/>
          <w:sz w:val="16"/>
        </w:rPr>
        <w:t xml:space="preserve">[112] </w:t>
      </w:r>
      <w:r>
        <w:rPr>
          <w:sz w:val="16"/>
        </w:rPr>
        <w:t>Tata S.; Potti N.; Wendt J.B.; Costa L.B.; Najork M.; Gunel B., "Glean: Structured extractions from templatic documents," Proceedings of the VLDB Endowment, 2021, doi: 10.14778/3447689.3447703.</w:t>
      </w:r>
    </w:p>
    <w:p>
      <w:pPr>
        <w:spacing w:line="240" w:lineRule="auto" w:before="0" w:after="40"/>
        <w:ind w:left="432" w:hanging="432"/>
        <w:jc w:val="both"/>
      </w:pPr>
      <w:r>
        <w:rPr>
          <w:b/>
          <w:sz w:val="16"/>
        </w:rPr>
        <w:t xml:space="preserve">[113] </w:t>
      </w:r>
      <w:r>
        <w:rPr>
          <w:sz w:val="16"/>
        </w:rPr>
        <w:t>Pan W.; Chen L.; Zhang R., "Automatic Recognition of Financial Instruments Based on Anisotropic Partial Differential Equations," Advances in Mathematical Physics, 2021, doi: 10.1155/2021/6529859.</w:t>
      </w:r>
    </w:p>
    <w:p>
      <w:pPr>
        <w:spacing w:line="240" w:lineRule="auto" w:before="0" w:after="40"/>
        <w:ind w:left="432" w:hanging="432"/>
        <w:jc w:val="both"/>
      </w:pPr>
      <w:r>
        <w:rPr>
          <w:b/>
          <w:sz w:val="16"/>
        </w:rPr>
        <w:t xml:space="preserve">[114] </w:t>
      </w:r>
      <w:r>
        <w:rPr>
          <w:sz w:val="16"/>
        </w:rPr>
        <w:t>Nguyen M.-T.; Le D.T.; Le L., "Transformers-based information extraction with limited data for domain-specific business documents," Engineering Applications of Artificial Intelligence, 2021, doi: 10.1016/j.engappai.2021.104273.</w:t>
      </w:r>
    </w:p>
    <w:p>
      <w:pPr>
        <w:spacing w:line="240" w:lineRule="auto" w:before="0" w:after="40"/>
        <w:ind w:left="432" w:hanging="432"/>
        <w:jc w:val="both"/>
      </w:pPr>
      <w:r>
        <w:rPr>
          <w:b/>
          <w:sz w:val="16"/>
        </w:rPr>
        <w:t xml:space="preserve">[115] </w:t>
      </w:r>
      <w:r>
        <w:rPr>
          <w:sz w:val="16"/>
        </w:rPr>
        <w:t>Hemmer A.; Coustaty M.; Bartolo N.; Ogier J.-M., "Neurosymbolic Information Extraction from Transactional Documents," International Journal on Document Analysis and Recognition, 2025, doi: 10.1007/s10032-025-00530-0.</w:t>
      </w:r>
    </w:p>
    <w:p>
      <w:pPr>
        <w:spacing w:line="240" w:lineRule="auto" w:before="0" w:after="40"/>
        <w:ind w:left="432" w:hanging="432"/>
        <w:jc w:val="both"/>
      </w:pPr>
      <w:r>
        <w:rPr>
          <w:b/>
          <w:sz w:val="16"/>
        </w:rPr>
        <w:t xml:space="preserve">[116] </w:t>
      </w:r>
      <w:r>
        <w:rPr>
          <w:sz w:val="16"/>
        </w:rPr>
        <w:t>Tobaben M.; Souibgui M.A.; Tito R.; Nguyen K.; Kerkouche R.; Jung K.; Jälkö J.; Kang L.; Barsky A.; D’andecy V.P.; Joseph A.; Muhamed A.; Kuo K.; Smith V.; Yamasaki Y.; Fukami T.; Niwa K.; Tyou I.; Ishii H.; Yokota R.; Ragul N.; Kutum R.; Llados J.; Valveny E.; Honkela A.; Fritz M.; Karatzas D., "NeurIPS 2023 Competition: Privacy Preserving Federated Learning Document VQA," Transactions on Machine Learning Research, 2025, ISSN: 2835-8856. [Online]. Available: https://openreview.net/forum?id=3HKNwejEEq.</w:t>
      </w:r>
    </w:p>
    <w:p>
      <w:pPr>
        <w:spacing w:line="240" w:lineRule="auto" w:before="0" w:after="40"/>
        <w:ind w:left="432" w:hanging="432"/>
        <w:jc w:val="both"/>
      </w:pPr>
      <w:r>
        <w:rPr>
          <w:b/>
          <w:sz w:val="16"/>
        </w:rPr>
        <w:t xml:space="preserve">[117] </w:t>
      </w:r>
      <w:r>
        <w:rPr>
          <w:sz w:val="16"/>
        </w:rPr>
        <w:t>Huang F.; Rothenbusch J.; Schafer P., "Machine learning-powered automation for real estate document processing and information extraction," Journal of European Real Estate Research, 2025, doi: 10.1108/JERER-05-2023-0015.</w:t>
      </w:r>
    </w:p>
    <w:p>
      <w:pPr>
        <w:spacing w:line="240" w:lineRule="auto" w:before="0" w:after="40"/>
        <w:ind w:left="432" w:hanging="432"/>
        <w:jc w:val="both"/>
      </w:pPr>
      <w:r>
        <w:rPr>
          <w:b/>
          <w:sz w:val="16"/>
        </w:rPr>
        <w:t xml:space="preserve">[118] </w:t>
      </w:r>
      <w:r>
        <w:rPr>
          <w:sz w:val="16"/>
        </w:rPr>
        <w:t>Li D.-L.; Lee S.-K.; Liu Y.-H., "Printed document layout analysis and optical character recognition using deep learning," Scientific Reports, 2025, doi: 10.1038/s41598-025-07439-y.</w:t>
      </w:r>
    </w:p>
    <w:p>
      <w:pPr>
        <w:spacing w:line="240" w:lineRule="auto" w:before="0" w:after="40"/>
        <w:ind w:left="432" w:hanging="432"/>
        <w:jc w:val="both"/>
      </w:pPr>
      <w:r>
        <w:rPr>
          <w:b/>
          <w:sz w:val="16"/>
        </w:rPr>
        <w:t xml:space="preserve">[119] </w:t>
      </w:r>
      <w:r>
        <w:rPr>
          <w:sz w:val="16"/>
        </w:rPr>
        <w:t>Limam M.; Dhiaf M.; Kessentini Y., "Information extraction from multi-layout invoice images using FATURA dataset," Engineering Applications of Artificial Intelligence, 2025, doi: 10.1016/j.engappai.2025.110478.</w:t>
      </w:r>
    </w:p>
    <w:p>
      <w:pPr>
        <w:spacing w:line="240" w:lineRule="auto" w:before="0" w:after="40"/>
        <w:ind w:left="432" w:hanging="432"/>
        <w:jc w:val="both"/>
      </w:pPr>
      <w:r>
        <w:rPr>
          <w:b/>
          <w:sz w:val="16"/>
        </w:rPr>
        <w:t xml:space="preserve">[120] </w:t>
      </w:r>
      <w:r>
        <w:rPr>
          <w:sz w:val="16"/>
        </w:rPr>
        <w:t>Zhang Z.; Hu P.; Ma J.; Du J.; Zhang J.; Yin B.; Yin B.; Liu C., "SEMv2: Table separation line detection based on instance segmentation," Pattern Recognition, 2024, doi: 10.1016/j.patcog.2024.110279.</w:t>
      </w:r>
    </w:p>
    <w:p>
      <w:pPr>
        <w:spacing w:line="240" w:lineRule="auto" w:before="0" w:after="40"/>
        <w:ind w:left="432" w:hanging="432"/>
        <w:jc w:val="both"/>
      </w:pPr>
      <w:r>
        <w:rPr>
          <w:b/>
          <w:sz w:val="16"/>
        </w:rPr>
        <w:t xml:space="preserve">[121] </w:t>
      </w:r>
      <w:r>
        <w:rPr>
          <w:sz w:val="16"/>
        </w:rPr>
        <w:t>Lai P.; Mohan A.; Kim S.; Chu J.S.V.; Lee S.; Kafle P.; Wang P., "Customized Information Extraction and Processing Pipeline for Commercial Invoices," International Journal of Pattern Recognition and Artificial Intelligence, 2023, doi: 10.1142/s0218001423540137.</w:t>
      </w:r>
    </w:p>
    <w:p>
      <w:pPr>
        <w:spacing w:line="240" w:lineRule="auto" w:before="0" w:after="40"/>
        <w:ind w:left="432" w:hanging="432"/>
        <w:jc w:val="both"/>
      </w:pPr>
      <w:r>
        <w:rPr>
          <w:b/>
          <w:sz w:val="16"/>
        </w:rPr>
        <w:t xml:space="preserve">[122] </w:t>
      </w:r>
      <w:r>
        <w:rPr>
          <w:sz w:val="16"/>
        </w:rPr>
        <w:t>Situ X.; Liu T.; Yao H.; Shen J., "Document-Image Perceptual Hashing for Content Authentication and Integrity in Enterprise Archives," IEEE Transactions on Big Data, 2025, doi: 10.1109/TBDATA.2025.3596854.</w:t>
      </w:r>
    </w:p>
    <w:p>
      <w:pPr>
        <w:spacing w:line="240" w:lineRule="auto" w:before="0" w:after="40"/>
        <w:ind w:left="432" w:hanging="432"/>
        <w:jc w:val="both"/>
      </w:pPr>
      <w:r>
        <w:rPr>
          <w:b/>
          <w:sz w:val="16"/>
        </w:rPr>
        <w:t xml:space="preserve">[123] </w:t>
      </w:r>
      <w:r>
        <w:rPr>
          <w:sz w:val="16"/>
        </w:rPr>
        <w:t>Nazir D.; Hashmi K.A.; Pagani A.; Liwicki M.; Stricker D., "Hybridtabnet: Towards better table detection in scanned document images," Applied Sciences, 2021, doi: 10.3390/app11188396.</w:t>
      </w:r>
    </w:p>
    <w:p>
      <w:pPr>
        <w:spacing w:line="240" w:lineRule="auto" w:before="0" w:after="40"/>
        <w:ind w:left="432" w:hanging="432"/>
        <w:jc w:val="both"/>
      </w:pPr>
      <w:r>
        <w:rPr>
          <w:b/>
          <w:sz w:val="16"/>
        </w:rPr>
        <w:t xml:space="preserve">[124] </w:t>
      </w:r>
      <w:r>
        <w:rPr>
          <w:sz w:val="16"/>
        </w:rPr>
        <w:t>Kayani M.; Ghafoor A.; Riaz M.M., "Multi-modal text recognition and encryption in scanned document images," Journal of Supercomputing, 2023, doi: 10.1007/s11227-022-04912-7.</w:t>
      </w:r>
    </w:p>
    <w:p>
      <w:pPr>
        <w:spacing w:line="240" w:lineRule="auto" w:before="0" w:after="40"/>
        <w:ind w:left="432" w:hanging="432"/>
        <w:jc w:val="both"/>
      </w:pPr>
      <w:r>
        <w:rPr>
          <w:b/>
          <w:sz w:val="16"/>
        </w:rPr>
        <w:t xml:space="preserve">[125] </w:t>
      </w:r>
      <w:r>
        <w:rPr>
          <w:sz w:val="16"/>
        </w:rPr>
        <w:t>Bao W.; Yang C.; Wen S.; Zeng M.; Guo J.; Zhong J.; Xu X., "A Novel Adaptive Deskewing Algorithm for Document Images," Sensors (Basel, Switzerland), 2022, doi: 10.3390/s22207944.</w:t>
      </w:r>
    </w:p>
    <w:p>
      <w:pPr>
        <w:spacing w:line="240" w:lineRule="auto" w:before="0" w:after="40"/>
        <w:ind w:left="432" w:hanging="432"/>
        <w:jc w:val="both"/>
      </w:pPr>
      <w:r>
        <w:rPr>
          <w:b/>
          <w:sz w:val="16"/>
        </w:rPr>
        <w:t xml:space="preserve">[126] </w:t>
      </w:r>
      <w:r>
        <w:rPr>
          <w:sz w:val="16"/>
        </w:rPr>
        <w:t>Aliwy A.H.; Al-Sadawi B., "Corpus-based technique for Improving Arabic OCR system," Indonesian Journal of Electrical Engineering and Computer Science, 2021, doi: 10.11591/ijeecs.v21.i1.pp233-241.</w:t>
      </w:r>
    </w:p>
    <w:p>
      <w:pPr>
        <w:spacing w:line="240" w:lineRule="auto" w:before="0" w:after="40"/>
        <w:ind w:left="432" w:hanging="432"/>
        <w:jc w:val="both"/>
      </w:pPr>
      <w:r>
        <w:rPr>
          <w:b/>
          <w:sz w:val="16"/>
        </w:rPr>
        <w:t xml:space="preserve">[127] </w:t>
      </w:r>
      <w:r>
        <w:rPr>
          <w:sz w:val="16"/>
        </w:rPr>
        <w:t>Azman N.A.; Mohamed A.; Jamil A.M., "Artificial Intelligence in Automated Bookkeeping: A Value-added Function for Small and Medium Enterprises," International Journal on Informatics Visualization, 2021, doi: 10.30630/joiv.5.3.669.</w:t>
      </w:r>
    </w:p>
    <w:p>
      <w:pPr>
        <w:spacing w:line="240" w:lineRule="auto" w:before="0" w:after="40"/>
        <w:ind w:left="432" w:hanging="432"/>
        <w:jc w:val="both"/>
      </w:pPr>
      <w:r>
        <w:rPr>
          <w:b/>
          <w:sz w:val="16"/>
        </w:rPr>
        <w:t xml:space="preserve">[128] </w:t>
      </w:r>
      <w:r>
        <w:rPr>
          <w:sz w:val="16"/>
        </w:rPr>
        <w:t>Wang H.; Zhu T.; Wang M.; Zhang G.; Chen W., "A prior information enhanced extraction framework for document-level financial event extraction," Data Intelligence, 2021, doi: 10.1162/dint_a_00103.</w:t>
      </w:r>
    </w:p>
    <w:p>
      <w:pPr>
        <w:spacing w:line="240" w:lineRule="auto" w:before="0" w:after="40"/>
        <w:ind w:left="432" w:hanging="432"/>
        <w:jc w:val="both"/>
      </w:pPr>
      <w:r>
        <w:rPr>
          <w:b/>
          <w:sz w:val="16"/>
        </w:rPr>
        <w:t xml:space="preserve">[129] </w:t>
      </w:r>
      <w:r>
        <w:rPr>
          <w:sz w:val="16"/>
        </w:rPr>
        <w:t>Baviskar D.; Ahirrao S.; Kotecha K., "Multi-layout invoice document dataset (Midd): A dataset for named entity recognition," Data, 2021, doi: 10.3390/data6070078.</w:t>
      </w:r>
    </w:p>
    <w:p>
      <w:pPr>
        <w:spacing w:line="240" w:lineRule="auto" w:before="0" w:after="40"/>
        <w:ind w:left="432" w:hanging="432"/>
        <w:jc w:val="both"/>
      </w:pPr>
      <w:r>
        <w:rPr>
          <w:b/>
          <w:sz w:val="16"/>
        </w:rPr>
        <w:t xml:space="preserve">[130] </w:t>
      </w:r>
      <w:r>
        <w:rPr>
          <w:sz w:val="16"/>
        </w:rPr>
        <w:t>Burdick D.; Danilevsky M.; Evfimievski A.V.; Katsis Y.; Wang N., "Table Extraction and Understanding for Scientific and Enterprise Applications," Proceedings of the VLDB Endowment, 2020, doi: 10.14778/3415478.3415563.</w:t>
      </w:r>
    </w:p>
    <w:p>
      <w:pPr>
        <w:spacing w:line="240" w:lineRule="auto" w:before="0" w:after="40"/>
        <w:ind w:left="432" w:hanging="432"/>
        <w:jc w:val="both"/>
      </w:pPr>
      <w:r>
        <w:rPr>
          <w:b/>
          <w:sz w:val="16"/>
        </w:rPr>
        <w:t xml:space="preserve">[131] </w:t>
      </w:r>
      <w:r>
        <w:rPr>
          <w:sz w:val="16"/>
        </w:rPr>
        <w:t>Sainz-De-Abajo B.; Garcia-Alonso J.M.; Berrocal-Olmeda J.J.; Laso-Mangas S.; De La Torre-Diez I., "FoodScan: Food Monitoring App by Scanning the Groceries Receipts," IEEE Access, 2020, doi: 10.1109/access.2020.3046031.</w:t>
      </w:r>
    </w:p>
    <w:p>
      <w:pPr>
        <w:spacing w:line="240" w:lineRule="auto" w:before="0" w:after="40"/>
        <w:ind w:left="432" w:hanging="432"/>
        <w:jc w:val="both"/>
      </w:pPr>
      <w:r>
        <w:rPr>
          <w:b/>
          <w:sz w:val="16"/>
        </w:rPr>
        <w:t xml:space="preserve">[132] </w:t>
      </w:r>
      <w:r>
        <w:rPr>
          <w:sz w:val="16"/>
        </w:rPr>
        <w:t>Ha H.T.; Horák A., "Information extraction from scanned invoice images using text analysis and layout features," Signal Processing: Image Communication, 2022, doi: 10.1016/j.image.2021.116601.</w:t>
      </w:r>
    </w:p>
    <w:p>
      <w:pPr>
        <w:spacing w:line="240" w:lineRule="auto" w:before="0" w:after="40"/>
        <w:ind w:left="432" w:hanging="432"/>
        <w:jc w:val="both"/>
      </w:pPr>
      <w:r>
        <w:rPr>
          <w:b/>
          <w:sz w:val="16"/>
        </w:rPr>
        <w:t xml:space="preserve">[133] </w:t>
      </w:r>
      <w:r>
        <w:rPr>
          <w:sz w:val="16"/>
        </w:rPr>
        <w:t>Gonçalves M.J.A.; da Silva A.C.F.; Ferreira C.G., "The Future of Accounting: How Will Digital Transformation Impact the Sector?," Informatics, 2022, doi: 10.3390/informatics9010019.</w:t>
      </w:r>
    </w:p>
    <w:p>
      <w:pPr>
        <w:spacing w:line="240" w:lineRule="auto" w:before="0" w:after="40"/>
        <w:ind w:left="432" w:hanging="432"/>
        <w:jc w:val="both"/>
      </w:pPr>
      <w:r>
        <w:rPr>
          <w:b/>
          <w:sz w:val="16"/>
        </w:rPr>
        <w:t xml:space="preserve">[134] </w:t>
      </w:r>
      <w:r>
        <w:rPr>
          <w:sz w:val="16"/>
        </w:rPr>
        <w:t>J. Thomas and A. Harden, 'Methods for the thematic synthesis of qualitative research in systematic reviews,' BMC Med. Res. Methodol., vol. 8, art. 45, 2008, doi: 10.1186/1471-2288-8-45.</w:t>
      </w:r>
    </w:p>
    <w:p>
      <w:pPr>
        <w:spacing w:line="240" w:lineRule="auto" w:before="0" w:after="40"/>
        <w:ind w:left="432" w:hanging="432"/>
        <w:jc w:val="both"/>
      </w:pPr>
      <w:r>
        <w:rPr>
          <w:b/>
          <w:sz w:val="16"/>
        </w:rPr>
        <w:t xml:space="preserve">[135] </w:t>
      </w:r>
      <w:r>
        <w:rPr>
          <w:sz w:val="16"/>
        </w:rPr>
        <w:t>D. S. Cruzes and T. Dybå, 'Research synthesis in software engineering: A tertiary study,' Inf. Softw. Technol., vol. 53, no. 5, pp. 440–455, 2011, doi: 10.1016/j.infsof.2011.01.004.</w:t>
      </w:r>
    </w:p>
    <w:p>
      <w:pPr>
        <w:spacing w:line="240" w:lineRule="auto" w:before="0" w:after="40"/>
        <w:ind w:left="432" w:hanging="432"/>
        <w:jc w:val="both"/>
      </w:pPr>
      <w:r>
        <w:rPr>
          <w:b/>
          <w:sz w:val="16"/>
        </w:rPr>
        <w:t xml:space="preserve">[136] </w:t>
      </w:r>
      <w:r>
        <w:rPr>
          <w:sz w:val="16"/>
        </w:rPr>
        <w:t>J. Popay et al., 'Guidance on the conduct of narrative synthesis in systematic reviews,' ESRC Methods Programme, Lancaster Univ., 2006.</w:t>
      </w:r>
    </w:p>
    <w:p>
      <w:pPr>
        <w:spacing w:line="240" w:lineRule="auto" w:before="0" w:after="40"/>
        <w:ind w:left="432" w:hanging="432"/>
        <w:jc w:val="both"/>
      </w:pPr>
      <w:r>
        <w:rPr>
          <w:b/>
          <w:sz w:val="16"/>
        </w:rPr>
        <w:t xml:space="preserve">[137] </w:t>
      </w:r>
      <w:r>
        <w:rPr>
          <w:sz w:val="16"/>
        </w:rPr>
        <w:t>M. Campbell et al., 'Synthesis without meta-analysis (SWiM) in systematic reviews: Reporting guideline,' BMJ, vol. 368, p. l6890, 2020, doi: 10.1136/bmj.l6890.</w:t>
      </w:r>
    </w:p>
    <w:p>
      <w:pPr>
        <w:spacing w:line="240" w:lineRule="auto" w:before="0" w:after="40"/>
        <w:ind w:left="432" w:hanging="432"/>
        <w:jc w:val="both"/>
      </w:pPr>
      <w:r>
        <w:rPr>
          <w:b/>
          <w:sz w:val="16"/>
        </w:rPr>
        <w:t xml:space="preserve">[138] </w:t>
      </w:r>
      <w:r>
        <w:rPr>
          <w:sz w:val="16"/>
        </w:rPr>
        <w:t>K. Petersen, S. Vakkalanka, and L. Kuzniarz, 'Guidelines for conducting systematic mapping studies in software engineering: An update,' Inf. Softw. Technol., vol. 64, pp. 1–18, 2015, doi: 10.1016/j.infsof.2015.03.007.</w:t>
      </w:r>
    </w:p>
    <w:p>
      <w:pPr>
        <w:spacing w:line="240" w:lineRule="auto" w:before="0" w:after="40"/>
        <w:ind w:left="432" w:hanging="432"/>
        <w:jc w:val="both"/>
      </w:pPr>
      <w:r>
        <w:rPr>
          <w:b/>
          <w:sz w:val="16"/>
        </w:rPr>
        <w:t xml:space="preserve">[139] </w:t>
      </w:r>
      <w:r>
        <w:rPr>
          <w:sz w:val="16"/>
        </w:rPr>
        <w:t>N. J. van Eck and L. Waltman, 'Software survey: VOSviewer, a computer program for bibliometric mapping,' Scientometrics, vol. 84, no. 2, pp. 523–538, 2010, doi: 10.1007/s11192-009-0146-3.</w:t>
      </w:r>
    </w:p>
    <w:p>
      <w:pPr>
        <w:spacing w:line="240" w:lineRule="auto" w:before="0" w:after="40"/>
        <w:ind w:left="432" w:hanging="432"/>
        <w:jc w:val="both"/>
      </w:pPr>
      <w:r>
        <w:rPr>
          <w:b/>
          <w:sz w:val="16"/>
        </w:rPr>
        <w:t xml:space="preserve">[140] </w:t>
      </w:r>
      <w:r>
        <w:rPr>
          <w:sz w:val="16"/>
        </w:rPr>
        <w:t>S. Lewin et al., 'Applying GRADE-CERQual to qualitative evidence synthesis findings: Introduction to the series,' Implement. Sci., vol. 13, suppl. 1, art. 2, 2018, doi: 10.1186/s13012-017-0688-3.</w:t>
      </w:r>
    </w:p>
    <w:sectPr w:rsidR="00FC693F" w:rsidRPr="0006063C" w:rsidSect="00034616">
      <w:type w:val="continuous"/>
      <w:pgSz w:w="12240" w:h="15840"/>
      <w:pgMar w:top="1080" w:right="1080" w:bottom="1080" w:left="1080" w:header="576" w:footer="576"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