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0"/>
        </w:rPr>
        <w:t>UNIVERSIDAD TECNOLÓGICA DEL PERÚ</w:t>
        <w:br/>
        <w:t>FACULTAD DE INGENIERÍA DE SISTEMAS Y ELECTRÓNICA</w:t>
      </w:r>
    </w:p>
    <w:p>
      <w:pPr>
        <w:spacing w:before="240" w:after="160"/>
        <w:jc w:val="center"/>
      </w:pPr>
      <w:r>
        <w:rPr>
          <w:rFonts w:ascii="Times New Roman" w:hAnsi="Times New Roman"/>
          <w:b/>
          <w:sz w:val="48"/>
        </w:rPr>
        <w:t>Metodología de la Revisión Sistemática de Literatura (RSL): Inteligencia Artificial para la Automatización del Registro y Validación de Documentos Empresariales</w:t>
      </w:r>
    </w:p>
    <w:p>
      <w:pPr>
        <w:spacing w:before="80" w:after="40"/>
        <w:jc w:val="center"/>
      </w:pPr>
      <w:r>
        <w:rPr>
          <w:rFonts w:ascii="Times New Roman" w:hAnsi="Times New Roman"/>
          <w:b/>
          <w:sz w:val="22"/>
        </w:rPr>
        <w:t>Formación para la Investigación (2026-1)</w:t>
      </w:r>
    </w:p>
    <w:p>
      <w:pPr>
        <w:spacing w:before="0" w:after="280"/>
        <w:jc w:val="center"/>
      </w:pPr>
      <w:r>
        <w:rPr>
          <w:rFonts w:ascii="Times New Roman" w:hAnsi="Times New Roman"/>
          <w:i/>
          <w:sz w:val="19"/>
        </w:rPr>
        <w:t>Facultad de Ingeniería de Sistemas y Electrónica, Universidad Tecnológica del Perú, Lima, Perú</w:t>
        <w:br/>
        <w:t>Docente Asesor: Jimmy Sánchez Portugal | Fecha de consultas: 21 de septiembre de 2026 | Corpus final: N = 110 estudios primarios (4 nucleares)</w:t>
      </w:r>
    </w:p>
    <w:p>
      <w:pPr>
        <w:sectPr>
          <w:headerReference w:type="default" r:id="rId9"/>
          <w:footerReference w:type="default" r:id="rId10"/>
          <w:pgSz w:w="12240" w:h="15840"/>
          <w:pgMar w:top="1077" w:right="981" w:bottom="1440" w:left="981" w:header="720" w:footer="720" w:gutter="0"/>
          <w:cols w:space="240" w:num="1"/>
          <w:docGrid w:linePitch="360"/>
        </w:sectPr>
      </w:pPr>
    </w:p>
    <w:p>
      <w:pPr>
        <w:spacing w:line="240" w:lineRule="auto" w:before="80" w:after="40"/>
        <w:ind w:firstLine="200"/>
        <w:jc w:val="both"/>
      </w:pPr>
      <w:r>
        <w:rPr>
          <w:rFonts w:ascii="Times New Roman" w:hAnsi="Times New Roman"/>
          <w:b/>
          <w:i/>
          <w:sz w:val="18"/>
        </w:rPr>
        <w:t xml:space="preserve">Resumen— </w:t>
      </w:r>
      <w:r>
        <w:rPr>
          <w:rFonts w:ascii="Times New Roman" w:hAnsi="Times New Roman"/>
          <w:b/>
          <w:sz w:val="18"/>
        </w:rPr>
        <w:t>Este documento presenta el protocolo metodológico riguroso, reproducible y auditable para la Revisión Sistemática de Literatura (RSL) sobre el impacto de la Inteligencia Artificial (IA) y el Procesamiento Inteligente de Documentos (IDP) en la automatización del registro y validación documental en sistemas de información empresariales (ERP, CRM, DMS). El diseño sigue los estándares internacionales de Kitchenham &amp; Charters (2007) y las directrices PRISMA 2020. Bajo el marco PICOC se formula una pregunta maestra y siete preguntas derivadas (cuatro temáticas PI1–PI4 y tres bibliométricas PD1–PD3). Las consultas ejecutadas el 21 de septiembre de 2026 en Scopus y Web of Science Core Collection arrojaron 1,593 registros brutos, reducidos a 960 tras filtros nativos. Tras eliminar 85 duplicados, se cribaron 875 registros en doble ciego (concordancia Kappa κ = 0.86 en cribado y κ = 0.91 en texto completo), evaluando 130 textos completos bajo 5 criterios de calidad metodológica (QA ≥ 3.0), consolidando un corpus final de N = 110 estudios primarios (incluyendo 4 estudios nucleares de cobertura integral 4/4). Se detallan las bitácoras de búsqueda, la matriz de mapeo, la vinculación con resultados, la síntesis narrativa y la matriz de mitigación de amenazas a la validez.</w:t>
      </w:r>
    </w:p>
    <w:p>
      <w:pPr>
        <w:spacing w:line="240" w:lineRule="auto" w:before="40" w:after="160"/>
        <w:ind w:firstLine="200"/>
        <w:jc w:val="both"/>
      </w:pPr>
      <w:r>
        <w:rPr>
          <w:rFonts w:ascii="Times New Roman" w:hAnsi="Times New Roman"/>
          <w:b/>
          <w:i/>
          <w:sz w:val="18"/>
        </w:rPr>
        <w:t xml:space="preserve">Palabras clave— </w:t>
      </w:r>
      <w:r>
        <w:rPr>
          <w:rFonts w:ascii="Times New Roman" w:hAnsi="Times New Roman"/>
          <w:sz w:val="18"/>
        </w:rPr>
        <w:t>Revisión Sistemática de Literatura, Procesamiento Inteligente de Documentos, Inteligencia Artificial, Extracción de Información Clave, PRISMA 2020, Calidad Metodológica, ERP.</w:t>
      </w:r>
    </w:p>
    <w:p>
      <w:pPr>
        <w:keepNext/>
        <w:spacing w:before="200" w:after="80"/>
        <w:ind w:firstLine="0"/>
        <w:jc w:val="center"/>
      </w:pPr>
      <w:r>
        <w:rPr>
          <w:rFonts w:ascii="Times New Roman" w:hAnsi="Times New Roman"/>
          <w:b/>
          <w:sz w:val="20"/>
        </w:rPr>
        <w:t>I. INTRODUCCIÓN Y ENCUADRE METODOLÓGICO</w:t>
      </w:r>
    </w:p>
    <w:p>
      <w:pPr>
        <w:keepNext/>
        <w:spacing w:before="160" w:after="40"/>
        <w:ind w:firstLine="0"/>
        <w:jc w:val="left"/>
      </w:pPr>
      <w:r>
        <w:rPr>
          <w:rFonts w:ascii="Times New Roman" w:hAnsi="Times New Roman"/>
          <w:i/>
          <w:sz w:val="20"/>
        </w:rPr>
        <w:t>A. Encuadre Metodológico y Estándares de Investigación</w:t>
      </w:r>
    </w:p>
    <w:p>
      <w:pPr>
        <w:spacing w:line="240" w:lineRule="auto" w:before="0" w:after="0"/>
        <w:ind w:firstLine="200"/>
        <w:jc w:val="both"/>
      </w:pPr>
      <w:r>
        <w:rPr>
          <w:rFonts w:ascii="Times New Roman" w:hAnsi="Times New Roman"/>
          <w:i w:val="0"/>
          <w:sz w:val="20"/>
        </w:rPr>
        <w:t>La presente Revisión Sistemática de Literatura (RSL) se diseña, conduce y valida rigurosamente bajo las directrices metodológicas de Kitchenham &amp; Charters [1] para la ingeniería de software y sistemas de información, y se reporta conforme al estándar internacional de la declaración PRISMA 2020 (Preferred Reporting Items for Systematic Reviews and Meta-Analyses) [2].</w:t>
      </w:r>
    </w:p>
    <w:p>
      <w:pPr>
        <w:spacing w:line="240" w:lineRule="auto" w:before="0" w:after="0"/>
        <w:ind w:firstLine="200"/>
        <w:jc w:val="both"/>
      </w:pPr>
      <w:r>
        <w:rPr>
          <w:rFonts w:ascii="Times New Roman" w:hAnsi="Times New Roman"/>
          <w:i w:val="0"/>
          <w:sz w:val="20"/>
        </w:rPr>
        <w:t>Para garantizar la máxima objetividad, la total reproducibilidad y la mitigación de sesgos de selección o confirmación, el protocolo de investigación (definición de preguntas de investigación, marco PICOC, criterios de elegibilidad, ecuaciones de búsqueda booleanas y formulario de extracción de datos) fue formulado y registrado a priori, previo a la ejecución de las consultas definitivas en las bases de datos indexadas.</w:t>
      </w:r>
    </w:p>
    <w:p>
      <w:pPr>
        <w:keepNext/>
        <w:spacing w:before="160" w:after="40"/>
        <w:ind w:firstLine="0"/>
        <w:jc w:val="left"/>
      </w:pPr>
      <w:r>
        <w:rPr>
          <w:rFonts w:ascii="Times New Roman" w:hAnsi="Times New Roman"/>
          <w:i/>
          <w:sz w:val="20"/>
        </w:rPr>
        <w:t>B. Tema de Partida y Delimitación del Estudio</w:t>
      </w:r>
    </w:p>
    <w:p>
      <w:pPr>
        <w:spacing w:line="240" w:lineRule="auto" w:before="0" w:after="0"/>
        <w:ind w:firstLine="200"/>
        <w:jc w:val="both"/>
      </w:pPr>
      <w:r>
        <w:rPr>
          <w:rFonts w:ascii="Times New Roman" w:hAnsi="Times New Roman"/>
          <w:i w:val="0"/>
          <w:sz w:val="20"/>
        </w:rPr>
        <w:t>El estudio aborda la aplicación de la Inteligencia Artificial (IA) y el Procesamiento Inteligente de Documentos (IDP / Intelligent Document Processing) en la automatización del registro y la validación de documentos en entornos empresariales.</w:t>
      </w:r>
    </w:p>
    <w:p>
      <w:pPr>
        <w:spacing w:line="240" w:lineRule="auto" w:before="40" w:after="0"/>
        <w:ind w:firstLine="200"/>
        <w:jc w:val="both"/>
      </w:pPr>
      <w:r>
        <w:rPr>
          <w:rFonts w:ascii="Times New Roman" w:hAnsi="Times New Roman"/>
          <w:i/>
          <w:sz w:val="20"/>
        </w:rPr>
        <w:t xml:space="preserve">1) Delimitación Positiva: </w:t>
      </w:r>
      <w:r>
        <w:rPr>
          <w:rFonts w:ascii="Times New Roman" w:hAnsi="Times New Roman"/>
          <w:sz w:val="20"/>
        </w:rPr>
        <w:t>Sistemas de información empresariales (Enterprise Resource Planning - ERP, Customer Relationship Management - CRM, Document Management Systems - DMS) y flujos internos de validación contable, financiera y operativa estrictamente corporativos.</w:t>
      </w:r>
    </w:p>
    <w:p>
      <w:pPr>
        <w:spacing w:line="240" w:lineRule="auto" w:before="40" w:after="0"/>
        <w:ind w:firstLine="200"/>
        <w:jc w:val="both"/>
      </w:pPr>
      <w:r>
        <w:rPr>
          <w:rFonts w:ascii="Times New Roman" w:hAnsi="Times New Roman"/>
          <w:i/>
          <w:sz w:val="20"/>
        </w:rPr>
        <w:t xml:space="preserve">2) Delimitación Negativa: </w:t>
      </w:r>
      <w:r>
        <w:rPr>
          <w:rFonts w:ascii="Times New Roman" w:hAnsi="Times New Roman"/>
          <w:sz w:val="20"/>
        </w:rPr>
        <w:t>Se excluyen expresamente los sistemas de administración pública y gubernamental, servicios de atención ciudadana y registros médicos o clínicos no equiparables a flujos empresariales, debido a que obedecen a marcos regulatorios, tipologías documentales y volumetrías operativas sustancialmente distintas.</w:t>
      </w:r>
    </w:p>
    <w:p>
      <w:pPr>
        <w:keepNext/>
        <w:spacing w:before="200" w:after="80"/>
        <w:ind w:firstLine="0"/>
        <w:jc w:val="center"/>
      </w:pPr>
      <w:r>
        <w:rPr>
          <w:rFonts w:ascii="Times New Roman" w:hAnsi="Times New Roman"/>
          <w:b/>
          <w:sz w:val="20"/>
        </w:rPr>
        <w:t>II. DELIMITACIÓN PICOC Y PREGUNTAS DE INVESTIGACIÓN</w:t>
      </w:r>
    </w:p>
    <w:p>
      <w:pPr>
        <w:keepNext/>
        <w:spacing w:before="160" w:after="40"/>
        <w:ind w:firstLine="0"/>
        <w:jc w:val="left"/>
      </w:pPr>
      <w:r>
        <w:rPr>
          <w:rFonts w:ascii="Times New Roman" w:hAnsi="Times New Roman"/>
          <w:i/>
          <w:sz w:val="20"/>
        </w:rPr>
        <w:t>A. Componentes del Marco PICOC</w:t>
      </w:r>
    </w:p>
    <w:p>
      <w:pPr>
        <w:spacing w:line="240" w:lineRule="auto" w:before="0" w:after="0"/>
        <w:ind w:firstLine="200"/>
        <w:jc w:val="both"/>
      </w:pPr>
      <w:r>
        <w:rPr>
          <w:rFonts w:ascii="Times New Roman" w:hAnsi="Times New Roman"/>
          <w:i w:val="0"/>
          <w:sz w:val="20"/>
        </w:rPr>
        <w:t>Para estructurar la búsqueda sistemática y garantizar la cobertura exhaustiva y auditable de los elementos constitutivos del problema, se implementa el marco metodológico extendido PICOC (Población, Intervención, Comparación, Outcome/Resultado y Contexto), detallado en la Tabla I:</w:t>
      </w:r>
    </w:p>
    <w:p>
      <w:pPr>
        <w:keepNext/>
        <w:spacing w:before="160" w:after="20"/>
        <w:ind w:firstLine="0"/>
        <w:jc w:val="center"/>
      </w:pPr>
      <w:r>
        <w:rPr>
          <w:rFonts w:ascii="Times New Roman" w:hAnsi="Times New Roman"/>
          <w:b/>
          <w:sz w:val="16"/>
        </w:rPr>
        <w:t>TABLA I</w:t>
      </w:r>
    </w:p>
    <w:p>
      <w:pPr>
        <w:keepNext/>
        <w:spacing w:before="0" w:after="80"/>
        <w:ind w:firstLine="0"/>
        <w:jc w:val="center"/>
      </w:pPr>
      <w:r>
        <w:rPr>
          <w:rFonts w:ascii="Times New Roman" w:hAnsi="Times New Roman"/>
          <w:b/>
          <w:sz w:val="16"/>
        </w:rPr>
        <w:t>COMPONENTES DEL MARCO PICOC Y DEFINICIÓN OPERATIVA</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3426"/>
        <w:gridCol w:w="3426"/>
        <w:gridCol w:w="3426"/>
      </w:tblGrid>
      <w:tr>
        <w:tc>
          <w:tcPr>
            <w:tcW w:type="dxa" w:w="144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Componente</w:t>
            </w:r>
          </w:p>
        </w:tc>
        <w:tc>
          <w:tcPr>
            <w:tcW w:type="dxa" w:w="1872"/>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Definición Operativa en este Estudio</w:t>
            </w:r>
          </w:p>
        </w:tc>
        <w:tc>
          <w:tcPr>
            <w:tcW w:type="dxa" w:w="1584"/>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Justificación Metodológica</w:t>
            </w:r>
          </w:p>
        </w:tc>
      </w:tr>
      <w:tr>
        <w:tc>
          <w:tcPr>
            <w:tcW w:type="dxa" w:w="144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P — Población / Problema</w:t>
            </w:r>
          </w:p>
        </w:tc>
        <w:tc>
          <w:tcPr>
            <w:tcW w:type="dxa" w:w="187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Sistemas de información empresariales (ERP, CRM, DMS) y flujos internos de registro y validación documental.</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Representa el entorno operativo y tecnológico donde se generan cuellos de botella por el ingreso manual y la heterogeneidad de formatos.</w:t>
            </w:r>
          </w:p>
        </w:tc>
      </w:tr>
      <w:tr>
        <w:tc>
          <w:tcPr>
            <w:tcW w:type="dxa" w:w="144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 — Intervención</w:t>
            </w:r>
          </w:p>
        </w:tc>
        <w:tc>
          <w:tcPr>
            <w:tcW w:type="dxa" w:w="187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Arquitecturas de Inteligencia Artificial para IDP (IA-OCR, KIE, modelos basados en secuencias, grafos, transformers multimodales y LLMs).</w:t>
            </w:r>
          </w:p>
        </w:tc>
        <w:tc>
          <w:tcPr>
            <w:tcW w:type="dxa" w:w="158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Constituye la tecnología y enfoque algorítmico cuyo impacto y eficacia se analizan en la literatura.</w:t>
            </w:r>
          </w:p>
        </w:tc>
      </w:tr>
      <w:tr>
        <w:tc>
          <w:tcPr>
            <w:tcW w:type="dxa" w:w="144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C — Comparación</w:t>
            </w:r>
          </w:p>
        </w:tc>
        <w:tc>
          <w:tcPr>
            <w:tcW w:type="dxa" w:w="187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Ingreso manual de datos o procesamiento convencional basado en reglas y plantillas rígidas.</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Establece la línea base convencional frente a la cual se contrasta la ganancia en precisión, tiempo y costos.</w:t>
            </w:r>
          </w:p>
        </w:tc>
      </w:tr>
      <w:tr>
        <w:tc>
          <w:tcPr>
            <w:tcW w:type="dxa" w:w="144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O — Resultado / Outcome</w:t>
            </w:r>
          </w:p>
        </w:tc>
        <w:tc>
          <w:tcPr>
            <w:tcW w:type="dxa" w:w="187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Grado de automatización, reducción de la carga operativa, precisión en la extracción (F1-score, exactitud) y velocidad/tiempo de respuesta.</w:t>
            </w:r>
          </w:p>
        </w:tc>
        <w:tc>
          <w:tcPr>
            <w:tcW w:type="dxa" w:w="158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Variables cuantitativas y métricas de rendimiento clave para evaluar la viabilidad y el retorno operativo.</w:t>
            </w:r>
          </w:p>
        </w:tc>
      </w:tr>
      <w:tr>
        <w:tc>
          <w:tcPr>
            <w:tcW w:type="dxa" w:w="144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C — Contexto</w:t>
            </w:r>
          </w:p>
        </w:tc>
        <w:tc>
          <w:tcPr>
            <w:tcW w:type="dxa" w:w="187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Entornos corporativos privados y ventana temporal 2020–2025.</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Delimita el dominio de aplicación y el período de maduración de los modelos de aprendizaje profundo y multimodales.</w:t>
            </w:r>
          </w:p>
        </w:tc>
      </w:tr>
    </w:tbl>
    <w:p>
      <w:pPr>
        <w:keepNext/>
        <w:spacing w:before="160" w:after="40"/>
        <w:ind w:firstLine="0"/>
        <w:jc w:val="left"/>
      </w:pPr>
      <w:r>
        <w:rPr>
          <w:rFonts w:ascii="Times New Roman" w:hAnsi="Times New Roman"/>
          <w:i/>
          <w:sz w:val="20"/>
        </w:rPr>
        <w:t>B. Pregunta Maestra (Research Question Principal)</w:t>
      </w:r>
    </w:p>
    <w:p>
      <w:pPr>
        <w:spacing w:line="240" w:lineRule="auto" w:before="0" w:after="0"/>
        <w:ind w:firstLine="200"/>
        <w:jc w:val="both"/>
      </w:pPr>
      <w:r>
        <w:rPr>
          <w:rFonts w:ascii="Times New Roman" w:hAnsi="Times New Roman"/>
          <w:i w:val="0"/>
          <w:sz w:val="20"/>
        </w:rPr>
        <w:t>La formulación de la pregunta maestra se rige bajo el criterio FINER (Factible, Interesante, Novedosa, Ética y Relevante) y sintetiza los cinco componentes del marco PICOC en una única formulación integral:</w:t>
      </w:r>
    </w:p>
    <w:p>
      <w:pPr>
        <w:spacing w:line="240" w:lineRule="auto" w:before="0" w:after="0"/>
        <w:ind w:firstLine="200"/>
        <w:jc w:val="both"/>
      </w:pPr>
      <w:r>
        <w:rPr>
          <w:rFonts w:ascii="Times New Roman" w:hAnsi="Times New Roman"/>
          <w:i/>
          <w:sz w:val="20"/>
        </w:rPr>
        <w:t>«¿Cuál es el impacto de las arquitecturas de Inteligencia Artificial y Procesamiento Inteligente de Documentos (IDP), frente al ingreso manual y enfoques basados en reglas, sobre la precisión, la velocidad y la reducción de la carga operativa en el registro y validación documental dentro de sistemas empresariales, entre 2020 y 2025?»</w:t>
      </w:r>
    </w:p>
    <w:p>
      <w:pPr>
        <w:keepNext/>
        <w:spacing w:before="160" w:after="40"/>
        <w:ind w:firstLine="0"/>
        <w:jc w:val="left"/>
      </w:pPr>
      <w:r>
        <w:rPr>
          <w:rFonts w:ascii="Times New Roman" w:hAnsi="Times New Roman"/>
          <w:i/>
          <w:sz w:val="20"/>
        </w:rPr>
        <w:t>C. Descomposición en Preguntas de Investigación Temáticas (PI)</w:t>
      </w:r>
    </w:p>
    <w:p>
      <w:pPr>
        <w:spacing w:line="240" w:lineRule="auto" w:before="0" w:after="0"/>
        <w:ind w:firstLine="200"/>
        <w:jc w:val="both"/>
      </w:pPr>
      <w:r>
        <w:rPr>
          <w:rFonts w:ascii="Times New Roman" w:hAnsi="Times New Roman"/>
          <w:i w:val="0"/>
          <w:sz w:val="20"/>
        </w:rPr>
        <w:t>A partir de los componentes PICOC, la pregunta maestra se descompone en cuatro Preguntas de Investigación (PI) temáticas que guían la extracción empírica y la síntesis técnica de la literatura (ver Tabla II):</w:t>
      </w:r>
    </w:p>
    <w:p>
      <w:pPr>
        <w:keepNext/>
        <w:spacing w:before="160" w:after="20"/>
        <w:ind w:firstLine="0"/>
        <w:jc w:val="center"/>
      </w:pPr>
      <w:r>
        <w:rPr>
          <w:rFonts w:ascii="Times New Roman" w:hAnsi="Times New Roman"/>
          <w:b/>
          <w:sz w:val="16"/>
        </w:rPr>
        <w:t>TABLA II</w:t>
      </w:r>
    </w:p>
    <w:p>
      <w:pPr>
        <w:keepNext/>
        <w:spacing w:before="0" w:after="80"/>
        <w:ind w:firstLine="0"/>
        <w:jc w:val="center"/>
      </w:pPr>
      <w:r>
        <w:rPr>
          <w:rFonts w:ascii="Times New Roman" w:hAnsi="Times New Roman"/>
          <w:b/>
          <w:sz w:val="16"/>
        </w:rPr>
        <w:t>PREGUNTAS DE INVESTIGACIÓN TEMÁTICAS (PI)</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3426"/>
        <w:gridCol w:w="3426"/>
        <w:gridCol w:w="3426"/>
      </w:tblGrid>
      <w:tr>
        <w:tc>
          <w:tcPr>
            <w:tcW w:type="dxa" w:w="57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Código</w:t>
            </w:r>
          </w:p>
        </w:tc>
        <w:tc>
          <w:tcPr>
            <w:tcW w:type="dxa" w:w="3312"/>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Pregunta de Investigación Temática</w:t>
            </w:r>
          </w:p>
        </w:tc>
        <w:tc>
          <w:tcPr>
            <w:tcW w:type="dxa" w:w="1008"/>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PICOC</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PI1</w:t>
            </w:r>
          </w:p>
        </w:tc>
        <w:tc>
          <w:tcPr>
            <w:tcW w:type="dxa" w:w="331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¿Qué arquitecturas y enfoques algorítmicos de IA/IDP (secuencias, grafos, modelos generativos multimodales) se han implementado en el procesamiento de documentos empresariales?</w:t>
            </w:r>
          </w:p>
        </w:tc>
        <w:tc>
          <w:tcPr>
            <w:tcW w:type="dxa" w:w="100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Intervención (I)</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PI2</w:t>
            </w:r>
          </w:p>
        </w:tc>
        <w:tc>
          <w:tcPr>
            <w:tcW w:type="dxa" w:w="331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¿Qué niveles de precisión (F1-score, exactitud) y velocidad/tiempo de resolución alcanzan estas arquitecturas en tareas de extracción de datos semiestructurados?</w:t>
            </w:r>
          </w:p>
        </w:tc>
        <w:tc>
          <w:tcPr>
            <w:tcW w:type="dxa" w:w="100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Intervención + Outcome (I + O)</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PI3</w:t>
            </w:r>
          </w:p>
        </w:tc>
        <w:tc>
          <w:tcPr>
            <w:tcW w:type="dxa" w:w="331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¿Qué diferencias de desempeño, escalabilidad y costo operativo se reportan entre las soluciones basadas en IA y los métodos tradicionales o manuales?</w:t>
            </w:r>
          </w:p>
        </w:tc>
        <w:tc>
          <w:tcPr>
            <w:tcW w:type="dxa" w:w="100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Intervención vs. Comparación (I vs. C)</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PI4</w:t>
            </w:r>
          </w:p>
        </w:tc>
        <w:tc>
          <w:tcPr>
            <w:tcW w:type="dxa" w:w="331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¿En qué tipologías documentales (facturas, recibos, formularios, contratos) y arquitecturas de sistemas empresariales (ERP/CRM) se han validado estas propuestas?</w:t>
            </w:r>
          </w:p>
        </w:tc>
        <w:tc>
          <w:tcPr>
            <w:tcW w:type="dxa" w:w="100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Población / Contexto (P / C)</w:t>
            </w:r>
          </w:p>
        </w:tc>
      </w:tr>
    </w:tbl>
    <w:p>
      <w:pPr>
        <w:keepNext/>
        <w:spacing w:before="160" w:after="40"/>
        <w:ind w:firstLine="0"/>
        <w:jc w:val="left"/>
      </w:pPr>
      <w:r>
        <w:rPr>
          <w:rFonts w:ascii="Times New Roman" w:hAnsi="Times New Roman"/>
          <w:i/>
          <w:sz w:val="20"/>
        </w:rPr>
        <w:t>D. Preguntas Descriptivas o Bibliométricas (PD)</w:t>
      </w:r>
    </w:p>
    <w:p>
      <w:pPr>
        <w:spacing w:line="240" w:lineRule="auto" w:before="0" w:after="0"/>
        <w:ind w:firstLine="200"/>
        <w:jc w:val="both"/>
      </w:pPr>
      <w:r>
        <w:rPr>
          <w:rFonts w:ascii="Times New Roman" w:hAnsi="Times New Roman"/>
          <w:i w:val="0"/>
          <w:sz w:val="20"/>
        </w:rPr>
        <w:t>Con el propósito de caracterizar cuantitativamente el estado del arte y la evolución de la producción científica en el dominio evaluado, se formulan tres Preguntas Descriptivas (PD), presentadas en la Tabla III:</w:t>
      </w:r>
    </w:p>
    <w:p>
      <w:pPr>
        <w:keepNext/>
        <w:spacing w:before="160" w:after="20"/>
        <w:ind w:firstLine="0"/>
        <w:jc w:val="center"/>
      </w:pPr>
      <w:r>
        <w:rPr>
          <w:rFonts w:ascii="Times New Roman" w:hAnsi="Times New Roman"/>
          <w:b/>
          <w:sz w:val="16"/>
        </w:rPr>
        <w:t>TABLA III</w:t>
      </w:r>
    </w:p>
    <w:p>
      <w:pPr>
        <w:keepNext/>
        <w:spacing w:before="0" w:after="80"/>
        <w:ind w:firstLine="0"/>
        <w:jc w:val="center"/>
      </w:pPr>
      <w:r>
        <w:rPr>
          <w:rFonts w:ascii="Times New Roman" w:hAnsi="Times New Roman"/>
          <w:b/>
          <w:sz w:val="16"/>
        </w:rPr>
        <w:t>PREGUNTAS DESCRIPTIVAS O BIBLIOMÉTRICAS (PD)</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3426"/>
        <w:gridCol w:w="3426"/>
        <w:gridCol w:w="3426"/>
      </w:tblGrid>
      <w:tr>
        <w:tc>
          <w:tcPr>
            <w:tcW w:type="dxa" w:w="57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Código</w:t>
            </w:r>
          </w:p>
        </w:tc>
        <w:tc>
          <w:tcPr>
            <w:tcW w:type="dxa" w:w="2592"/>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Pregunta Descriptiva / Bibliométrica</w:t>
            </w:r>
          </w:p>
        </w:tc>
        <w:tc>
          <w:tcPr>
            <w:tcW w:type="dxa" w:w="1728"/>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Propósito en la RSL</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PD1</w:t>
            </w:r>
          </w:p>
        </w:tc>
        <w:tc>
          <w:tcPr>
            <w:tcW w:type="dxa" w:w="259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¿Cómo ha evolucionado el volumen de producción científica anual sobre IA aplicada a documentos empresariales entre 2020 y 2025?</w:t>
            </w:r>
          </w:p>
        </w:tc>
        <w:tc>
          <w:tcPr>
            <w:tcW w:type="dxa" w:w="172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Identificar tendencias de publicación y puntos de inflexión temporal en el área.</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PD2</w:t>
            </w:r>
          </w:p>
        </w:tc>
        <w:tc>
          <w:tcPr>
            <w:tcW w:type="dxa" w:w="259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¿Qué autores, revistas/conferencias indexadas y países concentran la mayor productividad e impacto académico?</w:t>
            </w:r>
          </w:p>
        </w:tc>
        <w:tc>
          <w:tcPr>
            <w:tcW w:type="dxa" w:w="172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Mapear los núcleos de investigación y los canales de difusión de mayor relevancia.</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PD3</w:t>
            </w:r>
          </w:p>
        </w:tc>
        <w:tc>
          <w:tcPr>
            <w:tcW w:type="dxa" w:w="259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¿Qué tipos de diseño metodológico (estudios de caso, experimentos controlados, benchmarks) y datasets (públicos vs. privados) predominan en el corpus?</w:t>
            </w:r>
          </w:p>
        </w:tc>
        <w:tc>
          <w:tcPr>
            <w:tcW w:type="dxa" w:w="172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Evaluar el nivel de madurez empírica y la transferibilidad de las soluciones al entorno industrial.</w:t>
            </w:r>
          </w:p>
        </w:tc>
      </w:tr>
    </w:tbl>
    <w:p>
      <w:pPr>
        <w:keepNext/>
        <w:spacing w:before="200" w:after="80"/>
        <w:ind w:firstLine="0"/>
        <w:jc w:val="center"/>
      </w:pPr>
      <w:r>
        <w:rPr>
          <w:rFonts w:ascii="Times New Roman" w:hAnsi="Times New Roman"/>
          <w:b/>
          <w:sz w:val="20"/>
        </w:rPr>
        <w:t>III. ESTRATEGIA DE BÚSQUEDA Y CALIBRACIÓN BOOLEANA</w:t>
      </w:r>
    </w:p>
    <w:p>
      <w:pPr>
        <w:keepNext/>
        <w:spacing w:before="160" w:after="40"/>
        <w:ind w:firstLine="0"/>
        <w:jc w:val="left"/>
      </w:pPr>
      <w:r>
        <w:rPr>
          <w:rFonts w:ascii="Times New Roman" w:hAnsi="Times New Roman"/>
          <w:i/>
          <w:sz w:val="20"/>
        </w:rPr>
        <w:t>A. Matriz de Descriptores y Términos Clave</w:t>
      </w:r>
    </w:p>
    <w:p>
      <w:pPr>
        <w:spacing w:line="240" w:lineRule="auto" w:before="0" w:after="0"/>
        <w:ind w:firstLine="200"/>
        <w:jc w:val="both"/>
      </w:pPr>
      <w:r>
        <w:rPr>
          <w:rFonts w:ascii="Times New Roman" w:hAnsi="Times New Roman"/>
          <w:i w:val="0"/>
          <w:sz w:val="20"/>
        </w:rPr>
        <w:t>A partir de los componentes PICOC, se derivaron sistemáticamente los términos clave, descriptores y sinónimos técnicos en inglés. Se estructuraron bloques conceptuales mediante el operador OR interno, aplicando comodines de truncamiento (*) para capturar variaciones gramaticales, y conectando los bloques principales mediante el operador booleano AND (ver Tabla IV).</w:t>
      </w:r>
    </w:p>
    <w:p>
      <w:pPr>
        <w:keepNext/>
        <w:spacing w:before="160" w:after="20"/>
        <w:ind w:firstLine="0"/>
        <w:jc w:val="center"/>
      </w:pPr>
      <w:r>
        <w:rPr>
          <w:rFonts w:ascii="Times New Roman" w:hAnsi="Times New Roman"/>
          <w:b/>
          <w:sz w:val="16"/>
        </w:rPr>
        <w:t>TABLA IV</w:t>
      </w:r>
    </w:p>
    <w:p>
      <w:pPr>
        <w:keepNext/>
        <w:spacing w:before="0" w:after="80"/>
        <w:ind w:firstLine="0"/>
        <w:jc w:val="center"/>
      </w:pPr>
      <w:r>
        <w:rPr>
          <w:rFonts w:ascii="Times New Roman" w:hAnsi="Times New Roman"/>
          <w:b/>
          <w:sz w:val="16"/>
        </w:rPr>
        <w:t>MATRIZ DE DESCRIPTORES Y PALABRAS CLAVE</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3426"/>
        <w:gridCol w:w="3426"/>
        <w:gridCol w:w="3426"/>
      </w:tblGrid>
      <w:tr>
        <w:tc>
          <w:tcPr>
            <w:tcW w:type="dxa" w:w="57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Bloque</w:t>
            </w:r>
          </w:p>
        </w:tc>
        <w:tc>
          <w:tcPr>
            <w:tcW w:type="dxa" w:w="1584"/>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Concepto Base</w:t>
            </w:r>
          </w:p>
        </w:tc>
        <w:tc>
          <w:tcPr>
            <w:tcW w:type="dxa" w:w="273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Descriptores en Inglés (con sinónimos y comodines)</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P</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Sistemas empresariales y documentos</w:t>
            </w:r>
          </w:p>
        </w:tc>
        <w:tc>
          <w:tcPr>
            <w:tcW w:type="dxa" w:w="273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"business document*" OR "financial document*" OR "administrative document*" OR "invoice*" OR "receipt*" OR "document management" OR "business workflow*" OR "ERP" OR "enterprise system*"</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w:t>
            </w:r>
          </w:p>
        </w:tc>
        <w:tc>
          <w:tcPr>
            <w:tcW w:type="dxa" w:w="158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Inteligencia Artificial y Procesamiento de Documentos</w:t>
            </w:r>
          </w:p>
        </w:tc>
        <w:tc>
          <w:tcPr>
            <w:tcW w:type="dxa" w:w="273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"intelligent document processing" OR "IDP" OR "document AI" OR "document understanding" OR "key information extraction" OR "KIE" OR "LayoutLM*" OR "optical character recognition" OR "OCR" OR "information extraction"</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O / C</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Automatización, validación y desempeño</w:t>
            </w:r>
          </w:p>
        </w:tc>
        <w:tc>
          <w:tcPr>
            <w:tcW w:type="dxa" w:w="273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"automat*" OR "validat*" OR "extract*" OR "recognition" OR "accuracy" OR "efficiency" OR "workload"</w:t>
            </w:r>
          </w:p>
        </w:tc>
      </w:tr>
    </w:tbl>
    <w:p>
      <w:pPr>
        <w:keepNext/>
        <w:spacing w:before="160" w:after="40"/>
        <w:ind w:firstLine="0"/>
        <w:jc w:val="left"/>
      </w:pPr>
      <w:r>
        <w:rPr>
          <w:rFonts w:ascii="Times New Roman" w:hAnsi="Times New Roman"/>
          <w:i/>
          <w:sz w:val="20"/>
        </w:rPr>
        <w:t>B. Ecuación Booleana Principal Calibrada</w:t>
      </w:r>
    </w:p>
    <w:p>
      <w:pPr>
        <w:spacing w:line="240" w:lineRule="auto" w:before="0" w:after="0"/>
        <w:ind w:firstLine="200"/>
        <w:jc w:val="both"/>
      </w:pPr>
      <w:r>
        <w:rPr>
          <w:rFonts w:ascii="Times New Roman" w:hAnsi="Times New Roman"/>
          <w:i/>
          <w:sz w:val="20"/>
        </w:rPr>
        <w:t>("business document*" OR "financial document*" OR "administrative document*" OR "invoice*" OR "receipt*" OR "document management" OR "business workflow*" OR "ERP" OR "enterprise system*") AND ("intelligent document processing" OR "IDP" OR "document AI" OR "document understanding" OR "key information extraction" OR "KIE" OR "LayoutLM*" OR "optical character recognition" OR "OCR" OR "information extraction") AND ("automat*" OR "validat*" OR "extract*" OR "recognition" OR "accuracy" OR "efficiency" OR "workload")</w:t>
      </w:r>
    </w:p>
    <w:p>
      <w:pPr>
        <w:keepNext/>
        <w:spacing w:before="160" w:after="40"/>
        <w:ind w:firstLine="0"/>
        <w:jc w:val="left"/>
      </w:pPr>
      <w:r>
        <w:rPr>
          <w:rFonts w:ascii="Times New Roman" w:hAnsi="Times New Roman"/>
          <w:i/>
          <w:sz w:val="20"/>
        </w:rPr>
        <w:t>C. Adaptación Sintáctica por Base de Datos Indexada</w:t>
      </w:r>
    </w:p>
    <w:p>
      <w:pPr>
        <w:spacing w:line="240" w:lineRule="auto" w:before="40" w:after="0"/>
        <w:ind w:firstLine="200"/>
        <w:jc w:val="both"/>
      </w:pPr>
      <w:r>
        <w:rPr>
          <w:rFonts w:ascii="Times New Roman" w:hAnsi="Times New Roman"/>
          <w:i/>
          <w:sz w:val="20"/>
        </w:rPr>
        <w:t xml:space="preserve">1) Sintaxis en Scopus (TITLE-ABS-KEY): </w:t>
      </w:r>
      <w:r>
        <w:rPr>
          <w:rFonts w:ascii="Times New Roman" w:hAnsi="Times New Roman"/>
          <w:sz w:val="20"/>
        </w:rPr>
        <w:t>TITLE-ABS-KEY(("business document*" OR "financial document*" OR "administrative document*" OR "invoice*" OR "receipt*" OR "document management" OR "business workflow*" OR "ERP" OR "enterprise system*") AND ("intelligent document processing" OR "IDP" OR "document AI" OR "document understanding" OR "key information extraction" OR "KIE" OR "LayoutLM*" OR "optical character recognition" OR "OCR" OR "information extraction") AND ("automat*" OR "validat*" OR "extract*" OR "recognition" OR "accuracy" OR "efficiency" OR "workload"))</w:t>
      </w:r>
    </w:p>
    <w:p>
      <w:pPr>
        <w:spacing w:line="240" w:lineRule="auto" w:before="40" w:after="0"/>
        <w:ind w:firstLine="200"/>
        <w:jc w:val="both"/>
      </w:pPr>
      <w:r>
        <w:rPr>
          <w:rFonts w:ascii="Times New Roman" w:hAnsi="Times New Roman"/>
          <w:i/>
          <w:sz w:val="20"/>
        </w:rPr>
        <w:t xml:space="preserve">2) Sintaxis en Web of Science (TS / Topic): </w:t>
      </w:r>
      <w:r>
        <w:rPr>
          <w:rFonts w:ascii="Times New Roman" w:hAnsi="Times New Roman"/>
          <w:sz w:val="20"/>
        </w:rPr>
        <w:t>TS=(("business document*" OR "financial document*" OR "administrative document*" OR "invoice*" OR "receipt*" OR "document management" OR "business workflow*" OR "ERP" OR "enterprise system*") AND ("intelligent document processing" OR "IDP" OR "document AI" OR "document understanding" OR "key information extraction" OR "KIE" OR "LayoutLM*" OR "optical character recognition" OR "OCR" OR "information extraction" OR "NLP" OR "deep learning" OR "machine learning") AND ("automat*" OR "validat*" OR "extract*" OR "recognition" OR "accuracy" OR "efficiency" OR "workload"))</w:t>
      </w:r>
    </w:p>
    <w:p>
      <w:pPr>
        <w:keepNext/>
        <w:spacing w:before="160" w:after="40"/>
        <w:ind w:firstLine="0"/>
        <w:jc w:val="left"/>
      </w:pPr>
      <w:r>
        <w:rPr>
          <w:rFonts w:ascii="Times New Roman" w:hAnsi="Times New Roman"/>
          <w:i/>
          <w:sz w:val="20"/>
        </w:rPr>
        <w:t>D. Registro de Ecuaciones Ejecutadas por Iteración</w:t>
      </w:r>
    </w:p>
    <w:p>
      <w:pPr>
        <w:spacing w:line="240" w:lineRule="auto" w:before="40" w:after="0"/>
        <w:ind w:firstLine="200"/>
        <w:jc w:val="both"/>
      </w:pPr>
      <w:r>
        <w:rPr>
          <w:rFonts w:ascii="Times New Roman" w:hAnsi="Times New Roman"/>
          <w:i/>
          <w:sz w:val="20"/>
        </w:rPr>
        <w:t xml:space="preserve">1) [EQ-IT1-SCOPUS] Iteración 1 — Scopus (Exploratoria / Restrictiva): </w:t>
      </w:r>
      <w:r>
        <w:rPr>
          <w:rFonts w:ascii="Times New Roman" w:hAnsi="Times New Roman"/>
          <w:sz w:val="20"/>
        </w:rPr>
        <w:t>TITLE-ABS-KEY(("enterprise information systems" OR "document management" OR "business workflows" OR "ERP" OR "invoice processing" OR "receipt processing") AND ("intelligent document processing" OR "IDP" OR "optical character recognition" OR "OCR" OR "information extraction" OR "key information extraction" OR "document AI" OR "LayoutLM") AND ("manual data entry" OR "manual processing" OR "traditional processing" OR "rule-based" OR "automation" OR "workload reduction" OR "efficiency" OR "accuracy"))</w:t>
      </w:r>
    </w:p>
    <w:p>
      <w:pPr>
        <w:spacing w:line="240" w:lineRule="auto" w:before="40" w:after="0"/>
        <w:ind w:firstLine="200"/>
        <w:jc w:val="both"/>
      </w:pPr>
      <w:r>
        <w:rPr>
          <w:rFonts w:ascii="Times New Roman" w:hAnsi="Times New Roman"/>
          <w:i/>
          <w:sz w:val="20"/>
        </w:rPr>
        <w:t xml:space="preserve">2) [EQ-IT2-SCOPUS] Iteración 2 — Scopus (Calibrada Definitiva): </w:t>
      </w:r>
      <w:r>
        <w:rPr>
          <w:rFonts w:ascii="Times New Roman" w:hAnsi="Times New Roman"/>
          <w:sz w:val="20"/>
        </w:rPr>
        <w:t>TITLE-ABS-KEY(("business document*" OR "financial document*" OR "administrative document*" OR "invoice*" OR "receipt*" OR "document management" OR "business workflow*" OR "ERP" OR "enterprise system*") AND ("intelligent document processing" OR "IDP" OR "document AI" OR "document understanding" OR "key information extraction" OR "KIE" OR "LayoutLM*" OR "optical character recognition" OR "OCR" OR "information extraction") AND ("automat*" OR "validat*" OR "extract*" OR "recognition" OR "accuracy" OR "efficiency" OR "workload"))</w:t>
      </w:r>
    </w:p>
    <w:p>
      <w:pPr>
        <w:spacing w:line="240" w:lineRule="auto" w:before="40" w:after="0"/>
        <w:ind w:firstLine="200"/>
        <w:jc w:val="both"/>
      </w:pPr>
      <w:r>
        <w:rPr>
          <w:rFonts w:ascii="Times New Roman" w:hAnsi="Times New Roman"/>
          <w:i/>
          <w:sz w:val="20"/>
        </w:rPr>
        <w:t xml:space="preserve">3) [EQ-IT1-WOS] Iteración 1 — Web of Science (Exploratoria / Restrictiva): </w:t>
      </w:r>
      <w:r>
        <w:rPr>
          <w:rFonts w:ascii="Times New Roman" w:hAnsi="Times New Roman"/>
          <w:sz w:val="20"/>
        </w:rPr>
        <w:t>TS=(("business document*" OR "financial document*" OR "administrative document*" OR "invoice*" OR "receipt*" OR "document management" OR "business workflow*" OR "ERP" OR "enterprise system*") AND ("intelligent document processing" OR "IDP" OR "document AI" OR "document understanding" OR "key information extraction" OR "KIE" OR "LayoutLM*" OR "optical character recognition" OR "OCR" OR "information extraction") AND ("automat*" OR "validat*" OR "extract*" OR "recognition" OR "accuracy" OR "efficiency" OR "workload"))</w:t>
      </w:r>
    </w:p>
    <w:p>
      <w:pPr>
        <w:spacing w:line="240" w:lineRule="auto" w:before="40" w:after="0"/>
        <w:ind w:firstLine="200"/>
        <w:jc w:val="both"/>
      </w:pPr>
      <w:r>
        <w:rPr>
          <w:rFonts w:ascii="Times New Roman" w:hAnsi="Times New Roman"/>
          <w:i/>
          <w:sz w:val="20"/>
        </w:rPr>
        <w:t xml:space="preserve">4) [EQ-IT2-WOS] Iteración 2 — Web of Science (Calibrada Definitiva): </w:t>
      </w:r>
      <w:r>
        <w:rPr>
          <w:rFonts w:ascii="Times New Roman" w:hAnsi="Times New Roman"/>
          <w:sz w:val="20"/>
        </w:rPr>
        <w:t>TS=(("business document*" OR "financial document*" OR "administrative document*" OR "invoice*" OR "receipt*" OR "document management" OR "business workflow*" OR "ERP" OR "enterprise system*") AND ("intelligent document processing" OR "IDP" OR "document AI" OR "document understanding" OR "key information extraction" OR "KIE" OR "LayoutLM*" OR "optical character recognition" OR "OCR" OR "information extraction" OR "NLP" OR "deep learning" OR "machine learning") AND ("automat*" OR "validat*" OR "extract*" OR "recognition" OR "accuracy" OR "efficiency" OR "workload"))</w:t>
      </w:r>
    </w:p>
    <w:p>
      <w:pPr>
        <w:keepNext/>
        <w:spacing w:before="160" w:after="40"/>
        <w:ind w:firstLine="0"/>
        <w:jc w:val="left"/>
      </w:pPr>
      <w:r>
        <w:rPr>
          <w:rFonts w:ascii="Times New Roman" w:hAnsi="Times New Roman"/>
          <w:i/>
          <w:sz w:val="20"/>
        </w:rPr>
        <w:t>E. Trazabilidad de Iteraciones y Calibración Metodológica</w:t>
      </w:r>
    </w:p>
    <w:p>
      <w:pPr>
        <w:spacing w:line="240" w:lineRule="auto" w:before="0" w:after="0"/>
        <w:ind w:firstLine="200"/>
        <w:jc w:val="both"/>
      </w:pPr>
      <w:r>
        <w:rPr>
          <w:rFonts w:ascii="Times New Roman" w:hAnsi="Times New Roman"/>
          <w:i w:val="0"/>
          <w:sz w:val="20"/>
        </w:rPr>
        <w:t>Para calibrar la ecuación de búsqueda se ejecutaron dos iteraciones controladas, registrando los resultados brutos y el diagnóstico de exhaustividad (ver Tabla V):</w:t>
      </w:r>
    </w:p>
    <w:p>
      <w:pPr>
        <w:keepNext/>
        <w:spacing w:before="160" w:after="20"/>
        <w:ind w:firstLine="0"/>
        <w:jc w:val="center"/>
      </w:pPr>
      <w:r>
        <w:rPr>
          <w:rFonts w:ascii="Times New Roman" w:hAnsi="Times New Roman"/>
          <w:b/>
          <w:sz w:val="16"/>
        </w:rPr>
        <w:t>TABLA V</w:t>
      </w:r>
    </w:p>
    <w:p>
      <w:pPr>
        <w:keepNext/>
        <w:spacing w:before="0" w:after="80"/>
        <w:ind w:firstLine="0"/>
        <w:jc w:val="center"/>
      </w:pPr>
      <w:r>
        <w:rPr>
          <w:rFonts w:ascii="Times New Roman" w:hAnsi="Times New Roman"/>
          <w:b/>
          <w:sz w:val="16"/>
        </w:rPr>
        <w:t>TRAZABILIDAD DE ITERACIONES Y CALIBRACIÓN DE BÚSQUEDA</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1713"/>
        <w:gridCol w:w="1713"/>
        <w:gridCol w:w="1713"/>
        <w:gridCol w:w="1713"/>
        <w:gridCol w:w="1713"/>
        <w:gridCol w:w="1713"/>
      </w:tblGrid>
      <w:tr>
        <w:tc>
          <w:tcPr>
            <w:tcW w:type="dxa" w:w="72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Base</w:t>
            </w:r>
          </w:p>
        </w:tc>
        <w:tc>
          <w:tcPr>
            <w:tcW w:type="dxa" w:w="72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Iteración</w:t>
            </w:r>
          </w:p>
        </w:tc>
        <w:tc>
          <w:tcPr>
            <w:tcW w:type="dxa" w:w="1008"/>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Ecuación</w:t>
            </w:r>
          </w:p>
        </w:tc>
        <w:tc>
          <w:tcPr>
            <w:tcW w:type="dxa" w:w="57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Brutos (n)</w:t>
            </w:r>
          </w:p>
        </w:tc>
        <w:tc>
          <w:tcPr>
            <w:tcW w:type="dxa" w:w="129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Diagnóstico Metodológico</w:t>
            </w:r>
          </w:p>
        </w:tc>
        <w:tc>
          <w:tcPr>
            <w:tcW w:type="dxa" w:w="57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Decisión</w:t>
            </w:r>
          </w:p>
        </w:tc>
      </w:tr>
      <w:tr>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Scopus</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Iteración 1</w:t>
            </w:r>
          </w:p>
        </w:tc>
        <w:tc>
          <w:tcPr>
            <w:tcW w:type="dxa" w:w="100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[EQ-IT1-SCOPUS]</w:t>
            </w:r>
          </w:p>
        </w:tc>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140</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Sobre-restringida: frases literales cerradas que limitaron la recuperación.</w:t>
            </w:r>
          </w:p>
        </w:tc>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Descartada</w:t>
            </w:r>
          </w:p>
        </w:tc>
      </w:tr>
      <w:tr>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Scopus</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Iteración 2</w:t>
            </w:r>
          </w:p>
        </w:tc>
        <w:tc>
          <w:tcPr>
            <w:tcW w:type="dxa" w:w="100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[EQ-IT2-SCOPUS]</w:t>
            </w:r>
          </w:p>
        </w:tc>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863</w:t>
            </w:r>
          </w:p>
        </w:tc>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Óptima: uso de comodines (*), descriptores KIE y ampliación morfológica.</w:t>
            </w:r>
          </w:p>
        </w:tc>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Aprobada</w:t>
            </w:r>
          </w:p>
        </w:tc>
      </w:tr>
      <w:tr>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WoS</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Iteración 1</w:t>
            </w:r>
          </w:p>
        </w:tc>
        <w:tc>
          <w:tcPr>
            <w:tcW w:type="dxa" w:w="100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[EQ-IT1-WOS]</w:t>
            </w:r>
          </w:p>
        </w:tc>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123</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Sobre-restringida: sintaxis de campo TS excesivamente rígida frente a Scopus.</w:t>
            </w:r>
          </w:p>
        </w:tc>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Descartada</w:t>
            </w:r>
          </w:p>
        </w:tc>
      </w:tr>
      <w:tr>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WoS</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Iteración 2</w:t>
            </w:r>
          </w:p>
        </w:tc>
        <w:tc>
          <w:tcPr>
            <w:tcW w:type="dxa" w:w="100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[EQ-IT2-WOS]</w:t>
            </w:r>
          </w:p>
        </w:tc>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730</w:t>
            </w:r>
          </w:p>
        </w:tc>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Óptima: incorporación de sinónimos de intervención (NLP, deep learning).</w:t>
            </w:r>
          </w:p>
        </w:tc>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Aprobada</w:t>
            </w:r>
          </w:p>
        </w:tc>
      </w:tr>
    </w:tbl>
    <w:p>
      <w:pPr>
        <w:keepNext/>
        <w:spacing w:before="200" w:after="80"/>
        <w:ind w:firstLine="0"/>
        <w:jc w:val="center"/>
      </w:pPr>
      <w:r>
        <w:rPr>
          <w:rFonts w:ascii="Times New Roman" w:hAnsi="Times New Roman"/>
          <w:b/>
          <w:sz w:val="20"/>
        </w:rPr>
        <w:t>IV. CRITERIOS DE ELEGIBILIDAD Y BITÁCORA DE REDUCCIÓN</w:t>
      </w:r>
    </w:p>
    <w:p>
      <w:pPr>
        <w:keepNext/>
        <w:spacing w:before="160" w:after="40"/>
        <w:ind w:firstLine="0"/>
        <w:jc w:val="left"/>
      </w:pPr>
      <w:r>
        <w:rPr>
          <w:rFonts w:ascii="Times New Roman" w:hAnsi="Times New Roman"/>
          <w:i/>
          <w:sz w:val="20"/>
        </w:rPr>
        <w:t>A. Criterios de Inclusión y Exclusión Codificados</w:t>
      </w:r>
    </w:p>
    <w:p>
      <w:pPr>
        <w:spacing w:line="240" w:lineRule="auto" w:before="0" w:after="0"/>
        <w:ind w:firstLine="200"/>
        <w:jc w:val="both"/>
      </w:pPr>
      <w:r>
        <w:rPr>
          <w:rFonts w:ascii="Times New Roman" w:hAnsi="Times New Roman"/>
          <w:i w:val="0"/>
          <w:sz w:val="20"/>
        </w:rPr>
        <w:t>Los criterios de elegibilidad se codificaron formalmente para garantizar la trazabilidad individual de cada exclusión e inclusión documental. Durante el flujo de trabajo, se aplican primero los filtros bibliométricos gruesos (año, tipo de documento, idioma) y posteriormente la elegibilidad temática a texto completo (ver Tabla VI).</w:t>
      </w:r>
    </w:p>
    <w:p>
      <w:pPr>
        <w:keepNext/>
        <w:spacing w:before="160" w:after="20"/>
        <w:ind w:firstLine="0"/>
        <w:jc w:val="center"/>
      </w:pPr>
      <w:r>
        <w:rPr>
          <w:rFonts w:ascii="Times New Roman" w:hAnsi="Times New Roman"/>
          <w:b/>
          <w:sz w:val="16"/>
        </w:rPr>
        <w:t>TABLA VI</w:t>
      </w:r>
    </w:p>
    <w:p>
      <w:pPr>
        <w:keepNext/>
        <w:spacing w:before="0" w:after="80"/>
        <w:ind w:firstLine="0"/>
        <w:jc w:val="center"/>
      </w:pPr>
      <w:r>
        <w:rPr>
          <w:rFonts w:ascii="Times New Roman" w:hAnsi="Times New Roman"/>
          <w:b/>
          <w:sz w:val="16"/>
        </w:rPr>
        <w:t>CRITERIOS DE INCLUSIÓN Y EXCLUSIÓN CODIFICADOS</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2569"/>
        <w:gridCol w:w="2569"/>
        <w:gridCol w:w="2569"/>
        <w:gridCol w:w="2569"/>
      </w:tblGrid>
      <w:tr>
        <w:tc>
          <w:tcPr>
            <w:tcW w:type="dxa" w:w="57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Código</w:t>
            </w:r>
          </w:p>
        </w:tc>
        <w:tc>
          <w:tcPr>
            <w:tcW w:type="dxa" w:w="864"/>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Tipo</w:t>
            </w:r>
          </w:p>
        </w:tc>
        <w:tc>
          <w:tcPr>
            <w:tcW w:type="dxa" w:w="216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Criterio de Elegibilidad</w:t>
            </w:r>
          </w:p>
        </w:tc>
        <w:tc>
          <w:tcPr>
            <w:tcW w:type="dxa" w:w="129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Verificación / Evidencia</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IN1</w:t>
            </w:r>
          </w:p>
        </w:tc>
        <w:tc>
          <w:tcPr>
            <w:tcW w:type="dxa" w:w="86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Inclusión</w:t>
            </w:r>
          </w:p>
        </w:tc>
        <w:tc>
          <w:tcPr>
            <w:tcW w:type="dxa" w:w="216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Estudios publicados en la ventana temporal comprendida entre 2020 y 2025.</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Filtros nativos de plataforma en Scopus y Web of Science.</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IN2</w:t>
            </w:r>
          </w:p>
        </w:tc>
        <w:tc>
          <w:tcPr>
            <w:tcW w:type="dxa" w:w="86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Inclusión</w:t>
            </w:r>
          </w:p>
        </w:tc>
        <w:tc>
          <w:tcPr>
            <w:tcW w:type="dxa" w:w="216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Artículos de revista revisados por pares (journal articles) o ponencias en congresos internacionales indexados (conference proceedings).</w:t>
            </w:r>
          </w:p>
        </w:tc>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Filtro por tipo documental en metadatos de las bases.</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IN3</w:t>
            </w:r>
          </w:p>
        </w:tc>
        <w:tc>
          <w:tcPr>
            <w:tcW w:type="dxa" w:w="86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Inclusión</w:t>
            </w:r>
          </w:p>
        </w:tc>
        <w:tc>
          <w:tcPr>
            <w:tcW w:type="dxa" w:w="216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Estudios indexados en las colecciones principales Scopus (Elsevier) o Web of Science Core Collection.</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Bases de datos indexadas suscritas institucionalmente.</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IN4</w:t>
            </w:r>
          </w:p>
        </w:tc>
        <w:tc>
          <w:tcPr>
            <w:tcW w:type="dxa" w:w="86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Inclusión</w:t>
            </w:r>
          </w:p>
        </w:tc>
        <w:tc>
          <w:tcPr>
            <w:tcW w:type="dxa" w:w="216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Artículos que propongan, evalúen o comparen modelos de IA/IDP aplicados al registro, extracción o validación de documentos empresariales.</w:t>
            </w:r>
          </w:p>
        </w:tc>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Cribado de título/resumen y evaluación a texto completo.</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EX1</w:t>
            </w:r>
          </w:p>
        </w:tc>
        <w:tc>
          <w:tcPr>
            <w:tcW w:type="dxa" w:w="86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Exclusión</w:t>
            </w:r>
          </w:p>
        </w:tc>
        <w:tc>
          <w:tcPr>
            <w:tcW w:type="dxa" w:w="216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Documentos publicados en idiomas distintos al inglés o español.</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Filtros lingüísticos en Scopus y Web of Science.</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EX2</w:t>
            </w:r>
          </w:p>
        </w:tc>
        <w:tc>
          <w:tcPr>
            <w:tcW w:type="dxa" w:w="86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Exclusión</w:t>
            </w:r>
          </w:p>
        </w:tc>
        <w:tc>
          <w:tcPr>
            <w:tcW w:type="dxa" w:w="216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Publicaciones no disponibles a texto completo a través de accesos institucionales.</w:t>
            </w:r>
          </w:p>
        </w:tc>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Verificación en Fase 3 de Elegibilidad (n = 5).</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EX3</w:t>
            </w:r>
          </w:p>
        </w:tc>
        <w:tc>
          <w:tcPr>
            <w:tcW w:type="dxa" w:w="86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Exclusión</w:t>
            </w:r>
          </w:p>
        </w:tc>
        <w:tc>
          <w:tcPr>
            <w:tcW w:type="dxa" w:w="216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Literatura gris, preprints sin arbitraje por pares, notas editoriales o revisiones puramente teóricas sin validación empírica en documentos empresariales.</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Descarte en filtros y exclusión en Elegibilidad (n = 8).</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EX4</w:t>
            </w:r>
          </w:p>
        </w:tc>
        <w:tc>
          <w:tcPr>
            <w:tcW w:type="dxa" w:w="86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Exclusión</w:t>
            </w:r>
          </w:p>
        </w:tc>
        <w:tc>
          <w:tcPr>
            <w:tcW w:type="dxa" w:w="216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Estudios enfocados exclusivamente en trámites del sector público/gubernamental o registros médicos/clínicos no equiparables a flujos empresariales.</w:t>
            </w:r>
          </w:p>
        </w:tc>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Exclusión durante el cribado de título/resumen (n = 680).</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EX-n</w:t>
            </w:r>
          </w:p>
        </w:tc>
        <w:tc>
          <w:tcPr>
            <w:tcW w:type="dxa" w:w="86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Exclusión</w:t>
            </w:r>
          </w:p>
        </w:tc>
        <w:tc>
          <w:tcPr>
            <w:tcW w:type="dxa" w:w="216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Documentos que no aportan evidencia técnica a ninguna de las cuatro preguntas de investigación temáticas (PI1–PI4) o carecen de métricas reproducibles.</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Exclusión en cribado (n = 65) y en elegibilidad (n = 7).</w:t>
            </w:r>
          </w:p>
        </w:tc>
      </w:tr>
    </w:tbl>
    <w:p>
      <w:pPr>
        <w:keepNext/>
        <w:spacing w:before="160" w:after="40"/>
        <w:ind w:firstLine="0"/>
        <w:jc w:val="left"/>
      </w:pPr>
      <w:r>
        <w:rPr>
          <w:rFonts w:ascii="Times New Roman" w:hAnsi="Times New Roman"/>
          <w:i/>
          <w:sz w:val="20"/>
        </w:rPr>
        <w:t>B. Registro Maestro Consolidado de Búsqueda</w:t>
      </w:r>
    </w:p>
    <w:p>
      <w:pPr>
        <w:spacing w:line="240" w:lineRule="auto" w:before="0" w:after="0"/>
        <w:ind w:firstLine="200"/>
        <w:jc w:val="both"/>
      </w:pPr>
      <w:r>
        <w:rPr>
          <w:rFonts w:ascii="Times New Roman" w:hAnsi="Times New Roman"/>
          <w:i w:val="0"/>
          <w:sz w:val="20"/>
        </w:rPr>
        <w:t>Para asegurar la reproducibilidad temporal estricta exigida por PRISMA 2020, las consultas finales en ambas bases de datos se ejecutaron en una única fecha calendario: 21 de septiembre de 2026 (ver Tabla VII).</w:t>
      </w:r>
    </w:p>
    <w:p>
      <w:pPr>
        <w:keepNext/>
        <w:spacing w:before="160" w:after="20"/>
        <w:ind w:firstLine="0"/>
        <w:jc w:val="center"/>
      </w:pPr>
      <w:r>
        <w:rPr>
          <w:rFonts w:ascii="Times New Roman" w:hAnsi="Times New Roman"/>
          <w:b/>
          <w:sz w:val="16"/>
        </w:rPr>
        <w:t>TABLA VII</w:t>
      </w:r>
    </w:p>
    <w:p>
      <w:pPr>
        <w:keepNext/>
        <w:spacing w:before="0" w:after="80"/>
        <w:ind w:firstLine="0"/>
        <w:jc w:val="center"/>
      </w:pPr>
      <w:r>
        <w:rPr>
          <w:rFonts w:ascii="Times New Roman" w:hAnsi="Times New Roman"/>
          <w:b/>
          <w:sz w:val="16"/>
        </w:rPr>
        <w:t>REGISTRO MAESTRO CONSOLIDADO POR BASE INDEXADA</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1713"/>
        <w:gridCol w:w="1713"/>
        <w:gridCol w:w="1713"/>
        <w:gridCol w:w="1713"/>
        <w:gridCol w:w="1713"/>
        <w:gridCol w:w="1713"/>
      </w:tblGrid>
      <w:tr>
        <w:tc>
          <w:tcPr>
            <w:tcW w:type="dxa" w:w="864"/>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Base de Datos</w:t>
            </w:r>
          </w:p>
        </w:tc>
        <w:tc>
          <w:tcPr>
            <w:tcW w:type="dxa" w:w="72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Fecha</w:t>
            </w:r>
          </w:p>
        </w:tc>
        <w:tc>
          <w:tcPr>
            <w:tcW w:type="dxa" w:w="129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Ecuación Aplicada</w:t>
            </w:r>
          </w:p>
        </w:tc>
        <w:tc>
          <w:tcPr>
            <w:tcW w:type="dxa" w:w="57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Brutos (n)</w:t>
            </w:r>
          </w:p>
        </w:tc>
        <w:tc>
          <w:tcPr>
            <w:tcW w:type="dxa" w:w="57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Filtros (n)</w:t>
            </w:r>
          </w:p>
        </w:tc>
        <w:tc>
          <w:tcPr>
            <w:tcW w:type="dxa" w:w="864"/>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Archivo Exportado</w:t>
            </w:r>
          </w:p>
        </w:tc>
      </w:tr>
      <w:tr>
        <w:tc>
          <w:tcPr>
            <w:tcW w:type="dxa" w:w="86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Scopus</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21/09/2026</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[EQ-IT2-SCOPUS] en TITLE-ABS-KEY</w:t>
            </w:r>
          </w:p>
        </w:tc>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863</w:t>
            </w:r>
          </w:p>
        </w:tc>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458</w:t>
            </w:r>
          </w:p>
        </w:tc>
        <w:tc>
          <w:tcPr>
            <w:tcW w:type="dxa" w:w="86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scopus_export_it2.csv</w:t>
            </w:r>
          </w:p>
        </w:tc>
      </w:tr>
      <w:tr>
        <w:tc>
          <w:tcPr>
            <w:tcW w:type="dxa" w:w="86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Web of Science</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21/09/2026</w:t>
            </w:r>
          </w:p>
        </w:tc>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[EQ-IT2-WOS] en TS</w:t>
            </w:r>
          </w:p>
        </w:tc>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730</w:t>
            </w:r>
          </w:p>
        </w:tc>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502</w:t>
            </w:r>
          </w:p>
        </w:tc>
        <w:tc>
          <w:tcPr>
            <w:tcW w:type="dxa" w:w="86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wos_export_it2.xls</w:t>
            </w:r>
          </w:p>
        </w:tc>
      </w:tr>
      <w:tr>
        <w:tc>
          <w:tcPr>
            <w:tcW w:type="dxa" w:w="86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Total Consolidado</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21/09/2026</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Ecuaciones calibradas</w:t>
            </w:r>
          </w:p>
        </w:tc>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1,593</w:t>
            </w:r>
          </w:p>
        </w:tc>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960</w:t>
            </w:r>
          </w:p>
        </w:tc>
        <w:tc>
          <w:tcPr>
            <w:tcW w:type="dxa" w:w="86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Archivos en inputs/</w:t>
            </w:r>
          </w:p>
        </w:tc>
      </w:tr>
    </w:tbl>
    <w:p>
      <w:pPr>
        <w:keepNext/>
        <w:spacing w:before="160" w:after="40"/>
        <w:ind w:firstLine="0"/>
        <w:jc w:val="left"/>
      </w:pPr>
      <w:r>
        <w:rPr>
          <w:rFonts w:ascii="Times New Roman" w:hAnsi="Times New Roman"/>
          <w:i/>
          <w:sz w:val="20"/>
        </w:rPr>
        <w:t>C. Bitácora de Filtros Nativos Paso a Paso en Scopus</w:t>
      </w:r>
    </w:p>
    <w:p>
      <w:pPr>
        <w:spacing w:line="240" w:lineRule="auto" w:before="0" w:after="0"/>
        <w:ind w:firstLine="200"/>
        <w:jc w:val="both"/>
      </w:pPr>
      <w:r>
        <w:rPr>
          <w:rFonts w:ascii="Times New Roman" w:hAnsi="Times New Roman"/>
          <w:i w:val="0"/>
          <w:sz w:val="20"/>
        </w:rPr>
        <w:t>La secuencia progresiva de reducción en Scopus se detalla en la Tabla VIII:</w:t>
      </w:r>
    </w:p>
    <w:p>
      <w:pPr>
        <w:keepNext/>
        <w:spacing w:before="160" w:after="20"/>
        <w:ind w:firstLine="0"/>
        <w:jc w:val="center"/>
      </w:pPr>
      <w:r>
        <w:rPr>
          <w:rFonts w:ascii="Times New Roman" w:hAnsi="Times New Roman"/>
          <w:b/>
          <w:sz w:val="16"/>
        </w:rPr>
        <w:t>TABLA VIII</w:t>
      </w:r>
    </w:p>
    <w:p>
      <w:pPr>
        <w:keepNext/>
        <w:spacing w:before="0" w:after="80"/>
        <w:ind w:firstLine="0"/>
        <w:jc w:val="center"/>
      </w:pPr>
      <w:r>
        <w:rPr>
          <w:rFonts w:ascii="Times New Roman" w:hAnsi="Times New Roman"/>
          <w:b/>
          <w:sz w:val="16"/>
        </w:rPr>
        <w:t>BITÁCORA DE FILTROS NATIVOS EN SCOPUS</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2569"/>
        <w:gridCol w:w="2569"/>
        <w:gridCol w:w="2569"/>
        <w:gridCol w:w="2569"/>
      </w:tblGrid>
      <w:tr>
        <w:tc>
          <w:tcPr>
            <w:tcW w:type="dxa" w:w="129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Paso / Filtro</w:t>
            </w:r>
          </w:p>
        </w:tc>
        <w:tc>
          <w:tcPr>
            <w:tcW w:type="dxa" w:w="72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Criterio</w:t>
            </w:r>
          </w:p>
        </w:tc>
        <w:tc>
          <w:tcPr>
            <w:tcW w:type="dxa" w:w="216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Detalle del Filtro en Scopus</w:t>
            </w:r>
          </w:p>
        </w:tc>
        <w:tc>
          <w:tcPr>
            <w:tcW w:type="dxa" w:w="72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Restantes (n)</w:t>
            </w:r>
          </w:p>
        </w:tc>
      </w:tr>
      <w:tr>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Búsqueda inicial bruta</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Iteración 2</w:t>
            </w:r>
          </w:p>
        </w:tc>
        <w:tc>
          <w:tcPr>
            <w:tcW w:type="dxa" w:w="216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Ecuación calibrada sin filtros aplicados</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863</w:t>
            </w:r>
          </w:p>
        </w:tc>
      </w:tr>
      <w:tr>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1. Rango temporal</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IN1</w:t>
            </w:r>
          </w:p>
        </w:tc>
        <w:tc>
          <w:tcPr>
            <w:tcW w:type="dxa" w:w="216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Años de publicación: 2020–2025</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492</w:t>
            </w:r>
          </w:p>
        </w:tc>
      </w:tr>
      <w:tr>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2. Tipo de documento</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IN2 / EX3</w:t>
            </w:r>
          </w:p>
        </w:tc>
        <w:tc>
          <w:tcPr>
            <w:tcW w:type="dxa" w:w="216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Articles (109) + Conference Papers (349)</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458</w:t>
            </w:r>
          </w:p>
        </w:tc>
      </w:tr>
      <w:tr>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3. Idioma y Colección</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IN3 / EX1</w:t>
            </w:r>
          </w:p>
        </w:tc>
        <w:tc>
          <w:tcPr>
            <w:tcW w:type="dxa" w:w="216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English y Spanish / Scopus Core Elsevier</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458 (Exportados)</w:t>
            </w:r>
          </w:p>
        </w:tc>
      </w:tr>
    </w:tbl>
    <w:p>
      <w:pPr>
        <w:keepNext/>
        <w:spacing w:before="160" w:after="40"/>
        <w:ind w:firstLine="0"/>
        <w:jc w:val="left"/>
      </w:pPr>
      <w:r>
        <w:rPr>
          <w:rFonts w:ascii="Times New Roman" w:hAnsi="Times New Roman"/>
          <w:i/>
          <w:sz w:val="20"/>
        </w:rPr>
        <w:t>D. Bitácora de Filtros Nativos Paso a Paso en Web of Science</w:t>
      </w:r>
    </w:p>
    <w:p>
      <w:pPr>
        <w:spacing w:line="240" w:lineRule="auto" w:before="0" w:after="0"/>
        <w:ind w:firstLine="200"/>
        <w:jc w:val="both"/>
      </w:pPr>
      <w:r>
        <w:rPr>
          <w:rFonts w:ascii="Times New Roman" w:hAnsi="Times New Roman"/>
          <w:i w:val="0"/>
          <w:sz w:val="20"/>
        </w:rPr>
        <w:t>La secuencia progresiva de reducción en Web of Science se documenta en la Tabla IX:</w:t>
      </w:r>
    </w:p>
    <w:p>
      <w:pPr>
        <w:keepNext/>
        <w:spacing w:before="160" w:after="20"/>
        <w:ind w:firstLine="0"/>
        <w:jc w:val="center"/>
      </w:pPr>
      <w:r>
        <w:rPr>
          <w:rFonts w:ascii="Times New Roman" w:hAnsi="Times New Roman"/>
          <w:b/>
          <w:sz w:val="16"/>
        </w:rPr>
        <w:t>TABLA IX</w:t>
      </w:r>
    </w:p>
    <w:p>
      <w:pPr>
        <w:keepNext/>
        <w:spacing w:before="0" w:after="80"/>
        <w:ind w:firstLine="0"/>
        <w:jc w:val="center"/>
      </w:pPr>
      <w:r>
        <w:rPr>
          <w:rFonts w:ascii="Times New Roman" w:hAnsi="Times New Roman"/>
          <w:b/>
          <w:sz w:val="16"/>
        </w:rPr>
        <w:t>BITÁCORA DE FILTROS NATIVOS EN WEB OF SCIENCE</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2569"/>
        <w:gridCol w:w="2569"/>
        <w:gridCol w:w="2569"/>
        <w:gridCol w:w="2569"/>
      </w:tblGrid>
      <w:tr>
        <w:tc>
          <w:tcPr>
            <w:tcW w:type="dxa" w:w="129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Paso / Filtro</w:t>
            </w:r>
          </w:p>
        </w:tc>
        <w:tc>
          <w:tcPr>
            <w:tcW w:type="dxa" w:w="72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Criterio</w:t>
            </w:r>
          </w:p>
        </w:tc>
        <w:tc>
          <w:tcPr>
            <w:tcW w:type="dxa" w:w="216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Detalle del Filtro en WoS</w:t>
            </w:r>
          </w:p>
        </w:tc>
        <w:tc>
          <w:tcPr>
            <w:tcW w:type="dxa" w:w="72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Restantes (n)</w:t>
            </w:r>
          </w:p>
        </w:tc>
      </w:tr>
      <w:tr>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Búsqueda inicial bruta</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Iteración 2</w:t>
            </w:r>
          </w:p>
        </w:tc>
        <w:tc>
          <w:tcPr>
            <w:tcW w:type="dxa" w:w="216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Ecuación calibrada sin filtros aplicados</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730</w:t>
            </w:r>
          </w:p>
        </w:tc>
      </w:tr>
      <w:tr>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1. Rango temporal</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IN1</w:t>
            </w:r>
          </w:p>
        </w:tc>
        <w:tc>
          <w:tcPr>
            <w:tcW w:type="dxa" w:w="216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Años de publicación: 2020–2025</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536</w:t>
            </w:r>
          </w:p>
        </w:tc>
      </w:tr>
      <w:tr>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2. Tipo de documento</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IN2 / EX3</w:t>
            </w:r>
          </w:p>
        </w:tc>
        <w:tc>
          <w:tcPr>
            <w:tcW w:type="dxa" w:w="216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Articles indexados (502)</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502</w:t>
            </w:r>
          </w:p>
        </w:tc>
      </w:tr>
      <w:tr>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3. Indexación</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IN3</w:t>
            </w:r>
          </w:p>
        </w:tc>
        <w:tc>
          <w:tcPr>
            <w:tcW w:type="dxa" w:w="216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Web of Science Core Collection</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502 (Exportados)</w:t>
            </w:r>
          </w:p>
        </w:tc>
      </w:tr>
    </w:tbl>
    <w:p>
      <w:pPr>
        <w:keepNext/>
        <w:spacing w:before="200" w:after="80"/>
        <w:ind w:firstLine="0"/>
        <w:jc w:val="center"/>
      </w:pPr>
      <w:r>
        <w:rPr>
          <w:rFonts w:ascii="Times New Roman" w:hAnsi="Times New Roman"/>
          <w:b/>
          <w:sz w:val="20"/>
        </w:rPr>
        <w:t>V. FLUJO DE SELECCIÓN PRISMA 2020 Y CONTROL DE CALIDAD (QA)</w:t>
      </w:r>
    </w:p>
    <w:p>
      <w:pPr>
        <w:keepNext/>
        <w:spacing w:before="160" w:after="40"/>
        <w:ind w:firstLine="0"/>
        <w:jc w:val="left"/>
      </w:pPr>
      <w:r>
        <w:rPr>
          <w:rFonts w:ascii="Times New Roman" w:hAnsi="Times New Roman"/>
          <w:i/>
          <w:sz w:val="20"/>
        </w:rPr>
        <w:t>A. Fases del Flujo de Selección PRISMA 2020</w:t>
      </w:r>
    </w:p>
    <w:p>
      <w:pPr>
        <w:spacing w:line="240" w:lineRule="auto" w:before="0" w:after="0"/>
        <w:ind w:firstLine="200"/>
        <w:jc w:val="both"/>
      </w:pPr>
      <w:r>
        <w:rPr>
          <w:rFonts w:ascii="Times New Roman" w:hAnsi="Times New Roman"/>
          <w:i w:val="0"/>
          <w:sz w:val="20"/>
        </w:rPr>
        <w:t>El proceso de reducción cuantitativa se estructuró en las cuatro fases del estándar PRISMA 2020 [2], garantizando una consistencia matemática estricta en cada transición (ver Tabla X y Fig. 1):</w:t>
      </w:r>
    </w:p>
    <w:p>
      <w:pPr>
        <w:keepNext/>
        <w:spacing w:before="160" w:after="20"/>
        <w:ind w:firstLine="0"/>
        <w:jc w:val="center"/>
      </w:pPr>
      <w:r>
        <w:rPr>
          <w:rFonts w:ascii="Times New Roman" w:hAnsi="Times New Roman"/>
          <w:b/>
          <w:sz w:val="16"/>
        </w:rPr>
        <w:t>TABLA X</w:t>
      </w:r>
    </w:p>
    <w:p>
      <w:pPr>
        <w:keepNext/>
        <w:spacing w:before="0" w:after="80"/>
        <w:ind w:firstLine="0"/>
        <w:jc w:val="center"/>
      </w:pPr>
      <w:r>
        <w:rPr>
          <w:rFonts w:ascii="Times New Roman" w:hAnsi="Times New Roman"/>
          <w:b/>
          <w:sz w:val="16"/>
        </w:rPr>
        <w:t>CUATRO FASES DEL FLUJO DE SELECCIÓN PRISMA 2020</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1713"/>
        <w:gridCol w:w="1713"/>
        <w:gridCol w:w="1713"/>
        <w:gridCol w:w="1713"/>
        <w:gridCol w:w="1713"/>
        <w:gridCol w:w="1713"/>
      </w:tblGrid>
      <w:tr>
        <w:tc>
          <w:tcPr>
            <w:tcW w:type="dxa" w:w="864"/>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Fase PRISMA</w:t>
            </w:r>
          </w:p>
        </w:tc>
        <w:tc>
          <w:tcPr>
            <w:tcW w:type="dxa" w:w="72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Entrada (n)</w:t>
            </w:r>
          </w:p>
        </w:tc>
        <w:tc>
          <w:tcPr>
            <w:tcW w:type="dxa" w:w="129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Operación Metodológica</w:t>
            </w:r>
          </w:p>
        </w:tc>
        <w:tc>
          <w:tcPr>
            <w:tcW w:type="dxa" w:w="72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Criterios</w:t>
            </w:r>
          </w:p>
        </w:tc>
        <w:tc>
          <w:tcPr>
            <w:tcW w:type="dxa" w:w="72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Excluidos (n)</w:t>
            </w:r>
          </w:p>
        </w:tc>
        <w:tc>
          <w:tcPr>
            <w:tcW w:type="dxa" w:w="57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Salida (n)</w:t>
            </w:r>
          </w:p>
        </w:tc>
      </w:tr>
      <w:tr>
        <w:tc>
          <w:tcPr>
            <w:tcW w:type="dxa" w:w="86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Fase 1: Identificación</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1,593 brutos</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Filtros nativos + Deduplicación cruzada (DOI y Levenshtein &gt;= 95%)</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IN1–IN3</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-85 duplicados</w:t>
            </w:r>
          </w:p>
        </w:tc>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875 únicos</w:t>
            </w:r>
          </w:p>
        </w:tc>
      </w:tr>
      <w:tr>
        <w:tc>
          <w:tcPr>
            <w:tcW w:type="dxa" w:w="86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Fase 2: Cribado</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875 únicos</w:t>
            </w:r>
          </w:p>
        </w:tc>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Cribado por Título, Resumen y Palabras Clave</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EX4 y EX-n</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-745 excluidos (680 EX4 + 65 EX-n)</w:t>
            </w:r>
          </w:p>
        </w:tc>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130 elegibles</w:t>
            </w:r>
          </w:p>
        </w:tc>
      </w:tr>
      <w:tr>
        <w:tc>
          <w:tcPr>
            <w:tcW w:type="dxa" w:w="86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Fase 3: Elegibilidad</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130 elegibles</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Lectura de Texto Completo y Evaluación QA (QA &gt;= 3.0)</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EX3, EX-n, EX2</w:t>
            </w:r>
          </w:p>
        </w:tc>
        <w:tc>
          <w:tcPr>
            <w:tcW w:type="dxa" w:w="72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-20 excluidos (8 EX3 + 7 EX-n + 5 EX2)</w:t>
            </w:r>
          </w:p>
        </w:tc>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110 admitidos</w:t>
            </w:r>
          </w:p>
        </w:tc>
      </w:tr>
      <w:tr>
        <w:tc>
          <w:tcPr>
            <w:tcW w:type="dxa" w:w="86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Fase 4: Inclusión</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110 admitidos</w:t>
            </w:r>
          </w:p>
        </w:tc>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Categorización y Mapeo Sistemático de Preguntas PI1–PI4</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Matriz PI</w:t>
            </w:r>
          </w:p>
        </w:tc>
        <w:tc>
          <w:tcPr>
            <w:tcW w:type="dxa" w:w="72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0</w:t>
            </w:r>
          </w:p>
        </w:tc>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110 incluidos (Corpus Final)</w:t>
            </w:r>
          </w:p>
        </w:tc>
      </w:tr>
    </w:tbl>
    <w:p>
      <w:pPr>
        <w:spacing w:before="120" w:after="40"/>
        <w:ind w:firstLine="0"/>
        <w:jc w:val="center"/>
      </w:pPr>
      <w:r>
        <w:drawing>
          <wp:inline xmlns:a="http://schemas.openxmlformats.org/drawingml/2006/main" xmlns:pic="http://schemas.openxmlformats.org/drawingml/2006/picture">
            <wp:extent cx="3017520" cy="3976774"/>
            <wp:docPr id="1" name="Picture 1"/>
            <wp:cNvGraphicFramePr>
              <a:graphicFrameLocks noChangeAspect="1"/>
            </wp:cNvGraphicFramePr>
            <a:graphic>
              <a:graphicData uri="http://schemas.openxmlformats.org/drawingml/2006/picture">
                <pic:pic>
                  <pic:nvPicPr>
                    <pic:cNvPr id="0" name="diagrama_flujo_prisma_2020.png"/>
                    <pic:cNvPicPr/>
                  </pic:nvPicPr>
                  <pic:blipFill>
                    <a:blip r:embed="rId13"/>
                    <a:stretch>
                      <a:fillRect/>
                    </a:stretch>
                  </pic:blipFill>
                  <pic:spPr>
                    <a:xfrm>
                      <a:off x="0" y="0"/>
                      <a:ext cx="3017520" cy="3976774"/>
                    </a:xfrm>
                    <a:prstGeom prst="rect"/>
                  </pic:spPr>
                </pic:pic>
              </a:graphicData>
            </a:graphic>
          </wp:inline>
        </w:drawing>
      </w:r>
    </w:p>
    <w:p>
      <w:pPr>
        <w:keepNext w:val="0"/>
        <w:spacing w:before="80" w:after="160"/>
        <w:ind w:firstLine="0"/>
        <w:jc w:val="center"/>
      </w:pPr>
      <w:r>
        <w:rPr>
          <w:rFonts w:ascii="Times New Roman" w:hAnsi="Times New Roman"/>
          <w:b/>
          <w:sz w:val="16"/>
        </w:rPr>
        <w:t xml:space="preserve">Fig. 1. </w:t>
      </w:r>
      <w:r>
        <w:rPr>
          <w:rFonts w:ascii="Times New Roman" w:hAnsi="Times New Roman"/>
          <w:sz w:val="16"/>
        </w:rPr>
        <w:t>Flujo de selección y reducción del corpus documental según el estándar PRISMA 2020 (Fases 1 a 4).</w:t>
      </w:r>
    </w:p>
    <w:p>
      <w:pPr>
        <w:keepNext/>
        <w:spacing w:before="160" w:after="40"/>
        <w:ind w:firstLine="0"/>
        <w:jc w:val="left"/>
      </w:pPr>
      <w:r>
        <w:rPr>
          <w:rFonts w:ascii="Times New Roman" w:hAnsi="Times New Roman"/>
          <w:i/>
          <w:sz w:val="20"/>
        </w:rPr>
        <w:t>B. Protocolo de Cribado en Doble Ciego y Concordancia Inter-Evaluador</w:t>
      </w:r>
    </w:p>
    <w:p>
      <w:pPr>
        <w:spacing w:line="240" w:lineRule="auto" w:before="40" w:after="0"/>
        <w:ind w:firstLine="200"/>
        <w:jc w:val="both"/>
      </w:pPr>
      <w:r>
        <w:rPr>
          <w:rFonts w:ascii="Times New Roman" w:hAnsi="Times New Roman"/>
          <w:i/>
          <w:sz w:val="20"/>
        </w:rPr>
        <w:t xml:space="preserve">1) Deduplicación Automatizada: </w:t>
      </w:r>
      <w:r>
        <w:rPr>
          <w:rFonts w:ascii="Times New Roman" w:hAnsi="Times New Roman"/>
          <w:sz w:val="20"/>
        </w:rPr>
        <w:t>Se eliminaron 85 registros duplicados entre Scopus y Web of Science mediante coincidencia unívoca de DOI y distancia de Levenshtein normalizada (≥ 95%) sobre el título.</w:t>
      </w:r>
    </w:p>
    <w:p>
      <w:pPr>
        <w:spacing w:line="240" w:lineRule="auto" w:before="40" w:after="0"/>
        <w:ind w:firstLine="200"/>
        <w:jc w:val="both"/>
      </w:pPr>
      <w:r>
        <w:rPr>
          <w:rFonts w:ascii="Times New Roman" w:hAnsi="Times New Roman"/>
          <w:i/>
          <w:sz w:val="20"/>
        </w:rPr>
        <w:t xml:space="preserve">2) Evaluación en Doble Ciego: </w:t>
      </w:r>
      <w:r>
        <w:rPr>
          <w:rFonts w:ascii="Times New Roman" w:hAnsi="Times New Roman"/>
          <w:sz w:val="20"/>
        </w:rPr>
        <w:t>El cribado de los 875 títulos/resúmenes (Fase 2) y de los 130 textos completos (Fase 3) fue conducido en paralelo por dos revisores independientes bajo estricta aplicación de los criterios codificados.</w:t>
      </w:r>
    </w:p>
    <w:p>
      <w:pPr>
        <w:spacing w:line="240" w:lineRule="auto" w:before="40" w:after="0"/>
        <w:ind w:firstLine="200"/>
        <w:jc w:val="both"/>
      </w:pPr>
      <w:r>
        <w:rPr>
          <w:rFonts w:ascii="Times New Roman" w:hAnsi="Times New Roman"/>
          <w:i/>
          <w:sz w:val="20"/>
        </w:rPr>
        <w:t xml:space="preserve">3) Concordancia Inter-Evaluador (Kappa de Cohen): </w:t>
      </w:r>
      <w:r>
        <w:rPr>
          <w:rFonts w:ascii="Times New Roman" w:hAnsi="Times New Roman"/>
          <w:sz w:val="20"/>
        </w:rPr>
        <w:t>Las discrepancias se dirimieron mediante sesiones de consenso estructurado sobre el manuscrito original. La concordancia inter-evaluador previa a la reconciliación arrojó un coeficiente Kappa de Cohen κ = 0.86 en Fase 2 y κ = 0.91 en Fase 3, lo que califica como concordancia casi perfecta (&gt; 0.80) según la escala estándar de Landis &amp; Koch [3].</w:t>
      </w:r>
    </w:p>
    <w:p>
      <w:pPr>
        <w:keepNext/>
        <w:spacing w:before="160" w:after="40"/>
        <w:ind w:firstLine="0"/>
        <w:jc w:val="left"/>
      </w:pPr>
      <w:r>
        <w:rPr>
          <w:rFonts w:ascii="Times New Roman" w:hAnsi="Times New Roman"/>
          <w:i/>
          <w:sz w:val="20"/>
        </w:rPr>
        <w:t>C. Instrumento de Evaluación de Calidad Metodológica (QA)</w:t>
      </w:r>
    </w:p>
    <w:p>
      <w:pPr>
        <w:spacing w:line="240" w:lineRule="auto" w:before="0" w:after="0"/>
        <w:ind w:firstLine="200"/>
        <w:jc w:val="both"/>
      </w:pPr>
      <w:r>
        <w:rPr>
          <w:rFonts w:ascii="Times New Roman" w:hAnsi="Times New Roman"/>
          <w:i w:val="0"/>
          <w:sz w:val="20"/>
        </w:rPr>
        <w:t>Se diseñó y aplicó un instrumento de evaluación de calidad de 5 ítems basado en Kitchenham [1] (QA1 a QA5). Cada artículo fue puntuado bajo una escala tripartita: Sí = 1.0 punto, Parcial = 0.5 puntos, No = 0.0 puntos (Puntuación máxima = 5.0 puntos; Umbral mínimo de admisión: QA ≥ 3.0 puntos), detallado en la Tabla XI:</w:t>
      </w:r>
    </w:p>
    <w:p>
      <w:pPr>
        <w:keepNext/>
        <w:spacing w:before="160" w:after="20"/>
        <w:ind w:firstLine="0"/>
        <w:jc w:val="center"/>
      </w:pPr>
      <w:r>
        <w:rPr>
          <w:rFonts w:ascii="Times New Roman" w:hAnsi="Times New Roman"/>
          <w:b/>
          <w:sz w:val="16"/>
        </w:rPr>
        <w:t>TABLA XI</w:t>
      </w:r>
    </w:p>
    <w:p>
      <w:pPr>
        <w:keepNext/>
        <w:spacing w:before="0" w:after="80"/>
        <w:ind w:firstLine="0"/>
        <w:jc w:val="center"/>
      </w:pPr>
      <w:r>
        <w:rPr>
          <w:rFonts w:ascii="Times New Roman" w:hAnsi="Times New Roman"/>
          <w:b/>
          <w:sz w:val="16"/>
        </w:rPr>
        <w:t>INSTRUMENTO DE EVALUACIÓN DE CALIDAD METODOLÓGICA (QA)</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3426"/>
        <w:gridCol w:w="3426"/>
        <w:gridCol w:w="3426"/>
      </w:tblGrid>
      <w:tr>
        <w:tc>
          <w:tcPr>
            <w:tcW w:type="dxa" w:w="57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Código</w:t>
            </w:r>
          </w:p>
        </w:tc>
        <w:tc>
          <w:tcPr>
            <w:tcW w:type="dxa" w:w="2592"/>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Pregunta de Evaluación de Calidad (QA)</w:t>
            </w:r>
          </w:p>
        </w:tc>
        <w:tc>
          <w:tcPr>
            <w:tcW w:type="dxa" w:w="1728"/>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Criterio de Asignación de Puntaje</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QA1</w:t>
            </w:r>
          </w:p>
        </w:tc>
        <w:tc>
          <w:tcPr>
            <w:tcW w:type="dxa" w:w="259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¿El estudio define claramente los objetivos de investigación y el problema de automatización documental?</w:t>
            </w:r>
          </w:p>
        </w:tc>
        <w:tc>
          <w:tcPr>
            <w:tcW w:type="dxa" w:w="172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1.0: Objetivos y alcance explícitos.</w:t>
              <w:br/>
              <w:t>0.5: Objetivos genéricos o ambiguos.</w:t>
              <w:br/>
              <w:t>0.0: Sin formulación clara de objetivos.</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QA2</w:t>
            </w:r>
          </w:p>
        </w:tc>
        <w:tc>
          <w:tcPr>
            <w:tcW w:type="dxa" w:w="259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¿Se describe con suficiente detalle la arquitectura algorítmica de IA o el pipeline técnico propuesto?</w:t>
            </w:r>
          </w:p>
        </w:tc>
        <w:tc>
          <w:tcPr>
            <w:tcW w:type="dxa" w:w="172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1.0: Arquitectura, hiperparámetros o diagramas completos.</w:t>
              <w:br/>
              <w:t>0.5: Descripción superficial del modelo.</w:t>
              <w:br/>
              <w:t>0.0: Modelo 'caja negra' sin detalles.</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QA3</w:t>
            </w:r>
          </w:p>
        </w:tc>
        <w:tc>
          <w:tcPr>
            <w:tcW w:type="dxa" w:w="259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¿El estudio especifica con precisión la tipología de documentos empresariales y los datasets utilizados?</w:t>
            </w:r>
          </w:p>
        </w:tc>
        <w:tc>
          <w:tcPr>
            <w:tcW w:type="dxa" w:w="172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1.0: Dataset explícito con volumen y tipos documentales.</w:t>
              <w:br/>
              <w:t>0.5: Menciona tipos pero sin volumen ni fuente.</w:t>
              <w:br/>
              <w:t>0.0: No describe datos empleados.</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QA4</w:t>
            </w:r>
          </w:p>
        </w:tc>
        <w:tc>
          <w:tcPr>
            <w:tcW w:type="dxa" w:w="259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¿Se reportan métricas cuantitativas objetivas y reproducibles (F1-score, exactitud, latencia, tiempo)?</w:t>
            </w:r>
          </w:p>
        </w:tc>
        <w:tc>
          <w:tcPr>
            <w:tcW w:type="dxa" w:w="172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1.0: Reporta métricas estándar con datos numéricos.</w:t>
              <w:br/>
              <w:t>0.5: Métricas parciales o puramente cualitativas.</w:t>
              <w:br/>
              <w:t>0.0: Sin evaluación cuantitativa.</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QA5</w:t>
            </w:r>
          </w:p>
        </w:tc>
        <w:tc>
          <w:tcPr>
            <w:tcW w:type="dxa" w:w="259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¿Los resultados se contrastan críticamente frente a líneas base, métodos tradicionales (OCR/reglas) o trabajos previos?</w:t>
            </w:r>
          </w:p>
        </w:tc>
        <w:tc>
          <w:tcPr>
            <w:tcW w:type="dxa" w:w="172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1.0: Comparación cuantitativa directa frente a baselines.</w:t>
              <w:br/>
              <w:t>0.5: Discusión comparativa solo narrativa.</w:t>
              <w:br/>
              <w:t>0.0: Sin contraste experimental.</w:t>
            </w:r>
          </w:p>
        </w:tc>
      </w:tr>
    </w:tbl>
    <w:p>
      <w:pPr>
        <w:keepNext/>
        <w:spacing w:before="160" w:after="40"/>
        <w:ind w:firstLine="0"/>
        <w:jc w:val="left"/>
      </w:pPr>
      <w:r>
        <w:rPr>
          <w:rFonts w:ascii="Times New Roman" w:hAnsi="Times New Roman"/>
          <w:i/>
          <w:sz w:val="20"/>
        </w:rPr>
        <w:t>D. Resultados del Control de Calidad Metodológica</w:t>
      </w:r>
    </w:p>
    <w:p>
      <w:pPr>
        <w:spacing w:line="240" w:lineRule="auto" w:before="0" w:after="0"/>
        <w:ind w:firstLine="200"/>
        <w:jc w:val="both"/>
      </w:pPr>
      <w:r>
        <w:rPr>
          <w:rFonts w:ascii="Times New Roman" w:hAnsi="Times New Roman"/>
          <w:i w:val="0"/>
          <w:sz w:val="20"/>
        </w:rPr>
        <w:t>La media general de QA para los 110 estudios primarios incluidos fue de 4.12 / 5.0 (Mediana = 4.0; Mínimo = 3.0; Máximo = 5.0). Los 4 estudios nucleares alcanzaron la calificación máxima perfecta de 5.0 / 5.0. Los 20 manuscritos excluidos en Fase 3 no alcanzaron el umbral mínimo (&lt; 3.0) o presentaron causales de exclusión formal directa (EX2, EX3, EX-n).</w:t>
      </w:r>
    </w:p>
    <w:p>
      <w:pPr>
        <w:keepNext/>
        <w:spacing w:before="200" w:after="80"/>
        <w:ind w:firstLine="0"/>
        <w:jc w:val="center"/>
      </w:pPr>
      <w:r>
        <w:rPr>
          <w:rFonts w:ascii="Times New Roman" w:hAnsi="Times New Roman"/>
          <w:b/>
          <w:sz w:val="20"/>
        </w:rPr>
        <w:t>VI. MATRIZ DE MAPEO Y ALERTA DE INEDITUD</w:t>
      </w:r>
    </w:p>
    <w:p>
      <w:pPr>
        <w:keepNext/>
        <w:spacing w:before="160" w:after="40"/>
        <w:ind w:firstLine="0"/>
        <w:jc w:val="left"/>
      </w:pPr>
      <w:r>
        <w:rPr>
          <w:rFonts w:ascii="Times New Roman" w:hAnsi="Times New Roman"/>
          <w:i/>
          <w:sz w:val="20"/>
        </w:rPr>
        <w:t>A. Clasificación del Corpus Incluido (N = 110)</w:t>
      </w:r>
    </w:p>
    <w:p>
      <w:pPr>
        <w:spacing w:line="240" w:lineRule="auto" w:before="0" w:after="0"/>
        <w:ind w:firstLine="200"/>
        <w:jc w:val="both"/>
      </w:pPr>
      <w:r>
        <w:rPr>
          <w:rFonts w:ascii="Times New Roman" w:hAnsi="Times New Roman"/>
          <w:i w:val="0"/>
          <w:sz w:val="20"/>
        </w:rPr>
        <w:t>Los 110 estudios primarios incluidos fueron clasificados según su cobertura de las cuatro Preguntas de Investigación temáticas (PI1–PI4):</w:t>
      </w:r>
    </w:p>
    <w:p>
      <w:pPr>
        <w:spacing w:line="240" w:lineRule="auto" w:before="40" w:after="0"/>
        <w:ind w:firstLine="200"/>
        <w:jc w:val="both"/>
      </w:pPr>
      <w:r>
        <w:rPr>
          <w:rFonts w:ascii="Times New Roman" w:hAnsi="Times New Roman"/>
          <w:i/>
          <w:sz w:val="20"/>
        </w:rPr>
        <w:t xml:space="preserve">1) Estudios Nucleares (4/4 PIs — n = 4, 3.6%): </w:t>
      </w:r>
      <w:r>
        <w:rPr>
          <w:rFonts w:ascii="Times New Roman" w:hAnsi="Times New Roman"/>
          <w:sz w:val="20"/>
        </w:rPr>
        <w:t>Estudios que resuelven simultáneamente las cuatro preguntas temáticas (PI1, PI2, PI3 y PI4). Representan el núcleo de evidencia comparativa y cuantitativa de la revisión.</w:t>
      </w:r>
    </w:p>
    <w:p>
      <w:pPr>
        <w:spacing w:line="240" w:lineRule="auto" w:before="40" w:after="0"/>
        <w:ind w:firstLine="200"/>
        <w:jc w:val="both"/>
      </w:pPr>
      <w:r>
        <w:rPr>
          <w:rFonts w:ascii="Times New Roman" w:hAnsi="Times New Roman"/>
          <w:i/>
          <w:sz w:val="20"/>
        </w:rPr>
        <w:t xml:space="preserve">2) Estudios de Soporte Temático Avanzado (3/4 PIs — n = 32, 29.1%): </w:t>
      </w:r>
      <w:r>
        <w:rPr>
          <w:rFonts w:ascii="Times New Roman" w:hAnsi="Times New Roman"/>
          <w:sz w:val="20"/>
        </w:rPr>
        <w:t>Estudios que aportan evidencia empírica rigurosa en tres de las cuatro preguntas clave (ej. arquitectura + métricas + flujos de facturación).</w:t>
      </w:r>
    </w:p>
    <w:p>
      <w:pPr>
        <w:spacing w:line="240" w:lineRule="auto" w:before="40" w:after="0"/>
        <w:ind w:firstLine="200"/>
        <w:jc w:val="both"/>
      </w:pPr>
      <w:r>
        <w:rPr>
          <w:rFonts w:ascii="Times New Roman" w:hAnsi="Times New Roman"/>
          <w:i/>
          <w:sz w:val="20"/>
        </w:rPr>
        <w:t xml:space="preserve">3) Estudios de Soporte Algorítmico y Rendimiento (2/4 PIs — n = 48, 43.6%): </w:t>
      </w:r>
      <w:r>
        <w:rPr>
          <w:rFonts w:ascii="Times New Roman" w:hAnsi="Times New Roman"/>
          <w:sz w:val="20"/>
        </w:rPr>
        <w:t>Estudios focalizados en el diseño de modelos neuronales (PI1+PI2) o en la integración en plataformas empresariales ERP/CRM (PI1+PI4).</w:t>
      </w:r>
    </w:p>
    <w:p>
      <w:pPr>
        <w:spacing w:line="240" w:lineRule="auto" w:before="40" w:after="0"/>
        <w:ind w:firstLine="200"/>
        <w:jc w:val="both"/>
      </w:pPr>
      <w:r>
        <w:rPr>
          <w:rFonts w:ascii="Times New Roman" w:hAnsi="Times New Roman"/>
          <w:i/>
          <w:sz w:val="20"/>
        </w:rPr>
        <w:t xml:space="preserve">4) Estudios de Caracterización y Contexto (1/4 PIs — n = 26, 23.6%): </w:t>
      </w:r>
      <w:r>
        <w:rPr>
          <w:rFonts w:ascii="Times New Roman" w:hAnsi="Times New Roman"/>
          <w:sz w:val="20"/>
        </w:rPr>
        <w:t>Estudios que aportan caracterización de tipologías documentales o benchmarks de plataformas.</w:t>
      </w:r>
    </w:p>
    <w:p>
      <w:pPr>
        <w:keepNext/>
        <w:spacing w:before="160" w:after="40"/>
        <w:ind w:firstLine="0"/>
        <w:jc w:val="left"/>
      </w:pPr>
      <w:r>
        <w:rPr>
          <w:rFonts w:ascii="Times New Roman" w:hAnsi="Times New Roman"/>
          <w:i/>
          <w:sz w:val="20"/>
        </w:rPr>
        <w:t>B. Muestra Representativa de la Matriz de Mapeo</w:t>
      </w:r>
    </w:p>
    <w:p>
      <w:pPr>
        <w:spacing w:line="240" w:lineRule="auto" w:before="0" w:after="0"/>
        <w:ind w:firstLine="200"/>
        <w:jc w:val="both"/>
      </w:pPr>
      <w:r>
        <w:rPr>
          <w:rFonts w:ascii="Times New Roman" w:hAnsi="Times New Roman"/>
          <w:i w:val="0"/>
          <w:sz w:val="20"/>
        </w:rPr>
        <w:t>La Tabla XII resume la cobertura de las preguntas de investigación para los estudios nucleares y una muestra representativa del corpus:</w:t>
      </w:r>
    </w:p>
    <w:p>
      <w:pPr>
        <w:keepNext/>
        <w:spacing w:before="160" w:after="20"/>
        <w:ind w:firstLine="0"/>
        <w:jc w:val="center"/>
      </w:pPr>
      <w:r>
        <w:rPr>
          <w:rFonts w:ascii="Times New Roman" w:hAnsi="Times New Roman"/>
          <w:b/>
          <w:sz w:val="16"/>
        </w:rPr>
        <w:t>TABLA XII</w:t>
      </w:r>
    </w:p>
    <w:p>
      <w:pPr>
        <w:keepNext/>
        <w:spacing w:before="0" w:after="80"/>
        <w:ind w:firstLine="0"/>
        <w:jc w:val="center"/>
      </w:pPr>
      <w:r>
        <w:rPr>
          <w:rFonts w:ascii="Times New Roman" w:hAnsi="Times New Roman"/>
          <w:b/>
          <w:sz w:val="16"/>
        </w:rPr>
        <w:t>MUESTRA REPRESENTATIVA DE LA MATRIZ DE MAPEO DEL CORPUS</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1285"/>
        <w:gridCol w:w="1285"/>
        <w:gridCol w:w="1285"/>
        <w:gridCol w:w="1285"/>
        <w:gridCol w:w="1285"/>
        <w:gridCol w:w="1285"/>
        <w:gridCol w:w="1285"/>
        <w:gridCol w:w="1285"/>
      </w:tblGrid>
      <w:tr>
        <w:tc>
          <w:tcPr>
            <w:tcW w:type="dxa" w:w="57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ID</w:t>
            </w:r>
          </w:p>
        </w:tc>
        <w:tc>
          <w:tcPr>
            <w:tcW w:type="dxa" w:w="1584"/>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Referencia Bibliográfica</w:t>
            </w:r>
          </w:p>
        </w:tc>
        <w:tc>
          <w:tcPr>
            <w:tcW w:type="dxa" w:w="288"/>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PI1</w:t>
            </w:r>
          </w:p>
        </w:tc>
        <w:tc>
          <w:tcPr>
            <w:tcW w:type="dxa" w:w="288"/>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PI2</w:t>
            </w:r>
          </w:p>
        </w:tc>
        <w:tc>
          <w:tcPr>
            <w:tcW w:type="dxa" w:w="288"/>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PI3</w:t>
            </w:r>
          </w:p>
        </w:tc>
        <w:tc>
          <w:tcPr>
            <w:tcW w:type="dxa" w:w="288"/>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PI4</w:t>
            </w:r>
          </w:p>
        </w:tc>
        <w:tc>
          <w:tcPr>
            <w:tcW w:type="dxa" w:w="432"/>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Tot.</w:t>
            </w:r>
          </w:p>
        </w:tc>
        <w:tc>
          <w:tcPr>
            <w:tcW w:type="dxa" w:w="1152"/>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Clasificación</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[S001]</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Wei et al. (2020) [5]</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43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4/4</w:t>
            </w:r>
          </w:p>
        </w:tc>
        <w:tc>
          <w:tcPr>
            <w:tcW w:type="dxa" w:w="115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Nuclear</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[S002]</w:t>
            </w:r>
          </w:p>
        </w:tc>
        <w:tc>
          <w:tcPr>
            <w:tcW w:type="dxa" w:w="158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Hwang et al. (2021) [6]</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43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4/4</w:t>
            </w:r>
          </w:p>
        </w:tc>
        <w:tc>
          <w:tcPr>
            <w:tcW w:type="dxa" w:w="115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Nuclear</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[S003]</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Devadarshini &amp; Karthikeyan (2025) [7]</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43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4/4</w:t>
            </w:r>
          </w:p>
        </w:tc>
        <w:tc>
          <w:tcPr>
            <w:tcW w:type="dxa" w:w="115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Nuclear</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[S004]</w:t>
            </w:r>
          </w:p>
        </w:tc>
        <w:tc>
          <w:tcPr>
            <w:tcW w:type="dxa" w:w="158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Kirsch et al. (2025) [8]</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43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4/4</w:t>
            </w:r>
          </w:p>
        </w:tc>
        <w:tc>
          <w:tcPr>
            <w:tcW w:type="dxa" w:w="115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Nuclear</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[S005]</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Yu et al. (2025) [9]</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43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3/4</w:t>
            </w:r>
          </w:p>
        </w:tc>
        <w:tc>
          <w:tcPr>
            <w:tcW w:type="dxa" w:w="115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Soporte Temático</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[S006]</w:t>
            </w:r>
          </w:p>
        </w:tc>
        <w:tc>
          <w:tcPr>
            <w:tcW w:type="dxa" w:w="158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Mifsud et al. (2025) [10]</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43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3/4</w:t>
            </w:r>
          </w:p>
        </w:tc>
        <w:tc>
          <w:tcPr>
            <w:tcW w:type="dxa" w:w="115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Soporte Temático</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[S007]</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Shanthi et al. (2025) [11]</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43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3/4</w:t>
            </w:r>
          </w:p>
        </w:tc>
        <w:tc>
          <w:tcPr>
            <w:tcW w:type="dxa" w:w="115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Soporte Temático</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[S010]</w:t>
            </w:r>
          </w:p>
        </w:tc>
        <w:tc>
          <w:tcPr>
            <w:tcW w:type="dxa" w:w="158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Jena et al. (2023) [12]</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43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3/4</w:t>
            </w:r>
          </w:p>
        </w:tc>
        <w:tc>
          <w:tcPr>
            <w:tcW w:type="dxa" w:w="115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Soporte Temático</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[S037]</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Sara et al. (2022) [13]</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w:t>
            </w:r>
          </w:p>
        </w:tc>
        <w:tc>
          <w:tcPr>
            <w:tcW w:type="dxa" w:w="43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2/4</w:t>
            </w:r>
          </w:p>
        </w:tc>
        <w:tc>
          <w:tcPr>
            <w:tcW w:type="dxa" w:w="115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Soporte Algorítmico</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[S050]</w:t>
            </w:r>
          </w:p>
        </w:tc>
        <w:tc>
          <w:tcPr>
            <w:tcW w:type="dxa" w:w="158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Lee et al. (2024) [14]</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43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2/4</w:t>
            </w:r>
          </w:p>
        </w:tc>
        <w:tc>
          <w:tcPr>
            <w:tcW w:type="dxa" w:w="115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Soporte ERP/Valid.</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[S085]</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Alla (2025) [15]</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w:t>
            </w:r>
          </w:p>
        </w:tc>
        <w:tc>
          <w:tcPr>
            <w:tcW w:type="dxa" w:w="288"/>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Sí</w:t>
            </w:r>
          </w:p>
        </w:tc>
        <w:tc>
          <w:tcPr>
            <w:tcW w:type="dxa" w:w="43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1/4</w:t>
            </w:r>
          </w:p>
        </w:tc>
        <w:tc>
          <w:tcPr>
            <w:tcW w:type="dxa" w:w="1152"/>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Caracteriz./ERP</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[S090]</w:t>
            </w:r>
          </w:p>
        </w:tc>
        <w:tc>
          <w:tcPr>
            <w:tcW w:type="dxa" w:w="158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Cho et al. (2023) [16]</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Sí</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w:t>
            </w:r>
          </w:p>
        </w:tc>
        <w:tc>
          <w:tcPr>
            <w:tcW w:type="dxa" w:w="288"/>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w:t>
            </w:r>
          </w:p>
        </w:tc>
        <w:tc>
          <w:tcPr>
            <w:tcW w:type="dxa" w:w="43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1/4</w:t>
            </w:r>
          </w:p>
        </w:tc>
        <w:tc>
          <w:tcPr>
            <w:tcW w:type="dxa" w:w="1152"/>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Caracteriz. Métr.</w:t>
            </w:r>
          </w:p>
        </w:tc>
      </w:tr>
    </w:tbl>
    <w:p>
      <w:pPr>
        <w:keepNext/>
        <w:spacing w:before="160" w:after="40"/>
        <w:ind w:firstLine="0"/>
        <w:jc w:val="left"/>
      </w:pPr>
      <w:r>
        <w:rPr>
          <w:rFonts w:ascii="Times New Roman" w:hAnsi="Times New Roman"/>
          <w:i/>
          <w:sz w:val="20"/>
        </w:rPr>
        <w:t>C. Protocolo ante la Alerta de Ineditud</w:t>
      </w:r>
    </w:p>
    <w:p>
      <w:pPr>
        <w:spacing w:line="240" w:lineRule="auto" w:before="0" w:after="0"/>
        <w:ind w:firstLine="200"/>
        <w:jc w:val="both"/>
      </w:pPr>
      <w:r>
        <w:rPr>
          <w:rFonts w:ascii="Times New Roman" w:hAnsi="Times New Roman"/>
          <w:i w:val="0"/>
          <w:sz w:val="20"/>
        </w:rPr>
        <w:t>Si durante la evaluación se identifica un documento que responda íntegramente a las cuatro preguntas de investigación:</w:t>
      </w:r>
    </w:p>
    <w:p>
      <w:pPr>
        <w:spacing w:line="240" w:lineRule="auto" w:before="40" w:after="0"/>
        <w:ind w:firstLine="200"/>
        <w:jc w:val="both"/>
      </w:pPr>
      <w:r>
        <w:rPr>
          <w:rFonts w:ascii="Times New Roman" w:hAnsi="Times New Roman"/>
          <w:i/>
          <w:sz w:val="20"/>
        </w:rPr>
        <w:t xml:space="preserve">1) Si es un estudio primario empírico: </w:t>
      </w:r>
      <w:r>
        <w:rPr>
          <w:rFonts w:ascii="Times New Roman" w:hAnsi="Times New Roman"/>
          <w:sz w:val="20"/>
        </w:rPr>
        <w:t>Se valida y cataloga como estudio primario nuclear (los 4 estudios nucleares identificados son estudios primarios empíricos que proponen arquitecturas y validaciones experimentales concretas).</w:t>
      </w:r>
    </w:p>
    <w:p>
      <w:pPr>
        <w:spacing w:line="240" w:lineRule="auto" w:before="40" w:after="0"/>
        <w:ind w:firstLine="200"/>
        <w:jc w:val="both"/>
      </w:pPr>
      <w:r>
        <w:rPr>
          <w:rFonts w:ascii="Times New Roman" w:hAnsi="Times New Roman"/>
          <w:i/>
          <w:sz w:val="20"/>
        </w:rPr>
        <w:t xml:space="preserve">2) Si es una revisión sistemática previa (RSL o Survey): </w:t>
      </w:r>
      <w:r>
        <w:rPr>
          <w:rFonts w:ascii="Times New Roman" w:hAnsi="Times New Roman"/>
          <w:sz w:val="20"/>
        </w:rPr>
        <w:t>Se activa la alerta de ineditud, analizando su ventana temporal y taxonomía para diferenciar explícitamente la presente RSL como una contribución original que aborda brechas no resueltas (ej. modelos multimodales recientes post-2023 y foco estricto en flujos ERP/CRM privados).</w:t>
      </w:r>
    </w:p>
    <w:p>
      <w:pPr>
        <w:keepNext/>
        <w:spacing w:before="200" w:after="80"/>
        <w:ind w:firstLine="0"/>
        <w:jc w:val="center"/>
      </w:pPr>
      <w:r>
        <w:rPr>
          <w:rFonts w:ascii="Times New Roman" w:hAnsi="Times New Roman"/>
          <w:b/>
          <w:sz w:val="20"/>
        </w:rPr>
        <w:t>VII. VINCULACIÓN CON RESULTADOS Y ESTRATEGIA DE SÍNTESIS</w:t>
      </w:r>
    </w:p>
    <w:p>
      <w:pPr>
        <w:keepNext/>
        <w:spacing w:before="160" w:after="40"/>
        <w:ind w:firstLine="0"/>
        <w:jc w:val="left"/>
      </w:pPr>
      <w:r>
        <w:rPr>
          <w:rFonts w:ascii="Times New Roman" w:hAnsi="Times New Roman"/>
          <w:i/>
          <w:sz w:val="20"/>
        </w:rPr>
        <w:t>A. Enlace de Preguntas con la Sección de Resultados</w:t>
      </w:r>
    </w:p>
    <w:p>
      <w:pPr>
        <w:spacing w:line="240" w:lineRule="auto" w:before="0" w:after="0"/>
        <w:ind w:firstLine="200"/>
        <w:jc w:val="both"/>
      </w:pPr>
      <w:r>
        <w:rPr>
          <w:rFonts w:ascii="Times New Roman" w:hAnsi="Times New Roman"/>
          <w:i w:val="0"/>
          <w:sz w:val="20"/>
        </w:rPr>
        <w:t>Para asegurar una rigurosa trazabilidad y coherencia interna, cada una de las siete preguntas formuladas (PD1–PD3 y PI1–PI4) se responde en la sección de Resultados mediante una tabla de evidencia empírica y un gráfico cuantitativo asignado (ver Tabla XIII):</w:t>
      </w:r>
    </w:p>
    <w:p>
      <w:pPr>
        <w:keepNext/>
        <w:spacing w:before="160" w:after="20"/>
        <w:ind w:firstLine="0"/>
        <w:jc w:val="center"/>
      </w:pPr>
      <w:r>
        <w:rPr>
          <w:rFonts w:ascii="Times New Roman" w:hAnsi="Times New Roman"/>
          <w:b/>
          <w:sz w:val="16"/>
        </w:rPr>
        <w:t>TABLA XIII</w:t>
      </w:r>
    </w:p>
    <w:p>
      <w:pPr>
        <w:keepNext/>
        <w:spacing w:before="0" w:after="80"/>
        <w:ind w:firstLine="0"/>
        <w:jc w:val="center"/>
      </w:pPr>
      <w:r>
        <w:rPr>
          <w:rFonts w:ascii="Times New Roman" w:hAnsi="Times New Roman"/>
          <w:b/>
          <w:sz w:val="16"/>
        </w:rPr>
        <w:t>MATRIZ DE ENLACE ENTRE PREGUNTAS, TABLAS Y GRÁFICOS DE RESULTADOS</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2569"/>
        <w:gridCol w:w="2569"/>
        <w:gridCol w:w="2569"/>
        <w:gridCol w:w="2569"/>
      </w:tblGrid>
      <w:tr>
        <w:tc>
          <w:tcPr>
            <w:tcW w:type="dxa" w:w="57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Pregunta</w:t>
            </w:r>
          </w:p>
        </w:tc>
        <w:tc>
          <w:tcPr>
            <w:tcW w:type="dxa" w:w="1584"/>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Contenido Temático a Responder</w:t>
            </w:r>
          </w:p>
        </w:tc>
        <w:tc>
          <w:tcPr>
            <w:tcW w:type="dxa" w:w="144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Tabla de Evidencia Asignada</w:t>
            </w:r>
          </w:p>
        </w:tc>
        <w:tc>
          <w:tcPr>
            <w:tcW w:type="dxa" w:w="129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Gráfico Asignado</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PD1</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Evolución temporal de publicaciones sobre IA/IDP en documentos empresariales (2020–2025).</w:t>
            </w:r>
          </w:p>
        </w:tc>
        <w:tc>
          <w:tcPr>
            <w:tcW w:type="dxa" w:w="144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Tabla de distribución de frecuencia de artículos por año.</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Gráfico de líneas/barras de tendencia temporal.</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PD2</w:t>
            </w:r>
          </w:p>
        </w:tc>
        <w:tc>
          <w:tcPr>
            <w:tcW w:type="dxa" w:w="158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Productividad académica por autores líderes, revistas/conferencias indexadas y países de origen.</w:t>
            </w:r>
          </w:p>
        </w:tc>
        <w:tc>
          <w:tcPr>
            <w:tcW w:type="dxa" w:w="144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Ranking de las 10 revistas/conferencias más frecuentes y países líderes.</w:t>
            </w:r>
          </w:p>
        </w:tc>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Gráfico de barras horizontales de procedencia geográfica.</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PD3</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Distribución de diseños metodológicos y tipologías de datasets empleados.</w:t>
            </w:r>
          </w:p>
        </w:tc>
        <w:tc>
          <w:tcPr>
            <w:tcW w:type="dxa" w:w="144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Tabla cruzada: diseño del estudio × tipo de dataset (público vs. corporativo).</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Gráfico de barras apiladas por tipología de validación.</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PI1</w:t>
            </w:r>
          </w:p>
        </w:tc>
        <w:tc>
          <w:tcPr>
            <w:tcW w:type="dxa" w:w="158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Taxonomía de enfoques algorítmicos (secuenciales, grafos, transformers multimodales, LLMs/KIE).</w:t>
            </w:r>
          </w:p>
        </w:tc>
        <w:tc>
          <w:tcPr>
            <w:tcW w:type="dxa" w:w="144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Matriz de arquitecturas de IA identificadas × número de estudios primarios.</w:t>
            </w:r>
          </w:p>
        </w:tc>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Gráfico de barras por familia algorítmica.</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PI2</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Rendimiento cuantitativo reportado (F1-score, exactitud por campos, latencia de inferencia).</w:t>
            </w:r>
          </w:p>
        </w:tc>
        <w:tc>
          <w:tcPr>
            <w:tcW w:type="dxa" w:w="144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Tabla comparativa de métricas estadísticas (mínimo, mediana, máximo de precisión).</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Diagrama de caja y bigotes (boxplot) de métricas.</w:t>
            </w:r>
          </w:p>
        </w:tc>
      </w:tr>
      <w:tr>
        <w:tc>
          <w:tcPr>
            <w:tcW w:type="dxa" w:w="57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PI3</w:t>
            </w:r>
          </w:p>
        </w:tc>
        <w:tc>
          <w:tcPr>
            <w:tcW w:type="dxa" w:w="1584"/>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Comparativa de eficiencia y costo operativo: IA/IDP frente a ingreso manual y reglas rígidas.</w:t>
            </w:r>
          </w:p>
        </w:tc>
        <w:tc>
          <w:tcPr>
            <w:tcW w:type="dxa" w:w="144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Tabla de ganancia porcentual en velocidad y reducción de tasa de error operativo.</w:t>
            </w:r>
          </w:p>
        </w:tc>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Gráfico de barras comparativas (Método Tradicional vs. Enfoque IA).</w:t>
            </w:r>
          </w:p>
        </w:tc>
      </w:tr>
      <w:tr>
        <w:tc>
          <w:tcPr>
            <w:tcW w:type="dxa" w:w="57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PI4</w:t>
            </w:r>
          </w:p>
        </w:tc>
        <w:tc>
          <w:tcPr>
            <w:tcW w:type="dxa" w:w="1584"/>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Tipologías documentales (facturas, recibos, órdenes) y plataformas empresariales (ERP/CRM).</w:t>
            </w:r>
          </w:p>
        </w:tc>
        <w:tc>
          <w:tcPr>
            <w:tcW w:type="dxa" w:w="144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Tabla de frecuencia por tipo de documento visualmente rico × plataforma empresarial.</w:t>
            </w:r>
          </w:p>
        </w:tc>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Gráfico de barras agrupadas o matriz de calor (heatmap).</w:t>
            </w:r>
          </w:p>
        </w:tc>
      </w:tr>
    </w:tbl>
    <w:p>
      <w:pPr>
        <w:keepNext/>
        <w:spacing w:before="160" w:after="40"/>
        <w:ind w:firstLine="0"/>
        <w:jc w:val="left"/>
      </w:pPr>
      <w:r>
        <w:rPr>
          <w:rFonts w:ascii="Times New Roman" w:hAnsi="Times New Roman"/>
          <w:i/>
          <w:sz w:val="20"/>
        </w:rPr>
        <w:t>B. Estrategia de Síntesis de la Información</w:t>
      </w:r>
    </w:p>
    <w:p>
      <w:pPr>
        <w:spacing w:line="240" w:lineRule="auto" w:before="0" w:after="0"/>
        <w:ind w:firstLine="200"/>
        <w:jc w:val="both"/>
      </w:pPr>
      <w:r>
        <w:rPr>
          <w:rFonts w:ascii="Times New Roman" w:hAnsi="Times New Roman"/>
          <w:i w:val="0"/>
          <w:sz w:val="20"/>
        </w:rPr>
        <w:t>Debido a la heterogeneidad metodológica y contextual de los estudios primarios recuperados (variedad de arquitecturas neuronales, métricas disímiles como F1-score por entidad, exactitud global, WER o tiempo de inferencia, y el uso combinado de datasets públicos de benchmark con datasets corporativos privados protegidos por acuerdos de confidencialidad), no resulta metodológicamente viable ni estadísticamente apropiado realizar un metaanálisis cuantitativo tradicional con estimación de tamaño de efecto combinado.</w:t>
      </w:r>
    </w:p>
    <w:p>
      <w:pPr>
        <w:spacing w:line="240" w:lineRule="auto" w:before="0" w:after="0"/>
        <w:ind w:firstLine="200"/>
        <w:jc w:val="both"/>
      </w:pPr>
      <w:r>
        <w:rPr>
          <w:rFonts w:ascii="Times New Roman" w:hAnsi="Times New Roman"/>
          <w:i w:val="0"/>
          <w:sz w:val="20"/>
        </w:rPr>
        <w:t>En su lugar, se adopta una estrategia de síntesis narrativa temática y cuantitativa descriptiva estructurada en tres fases:</w:t>
      </w:r>
    </w:p>
    <w:p>
      <w:pPr>
        <w:spacing w:line="240" w:lineRule="auto" w:before="40" w:after="0"/>
        <w:ind w:firstLine="200"/>
        <w:jc w:val="both"/>
      </w:pPr>
      <w:r>
        <w:rPr>
          <w:rFonts w:ascii="Times New Roman" w:hAnsi="Times New Roman"/>
          <w:i/>
          <w:sz w:val="20"/>
        </w:rPr>
        <w:t xml:space="preserve">1) Agrupación y Tabulación Descriptiva: </w:t>
      </w:r>
      <w:r>
        <w:rPr>
          <w:rFonts w:ascii="Times New Roman" w:hAnsi="Times New Roman"/>
          <w:sz w:val="20"/>
        </w:rPr>
        <w:t>Consolidación de frecuencias absolutas y relativas para responder las preguntas bibliométricas (PD1–PD3).</w:t>
      </w:r>
    </w:p>
    <w:p>
      <w:pPr>
        <w:spacing w:line="240" w:lineRule="auto" w:before="40" w:after="0"/>
        <w:ind w:firstLine="200"/>
        <w:jc w:val="both"/>
      </w:pPr>
      <w:r>
        <w:rPr>
          <w:rFonts w:ascii="Times New Roman" w:hAnsi="Times New Roman"/>
          <w:i/>
          <w:sz w:val="20"/>
        </w:rPr>
        <w:t xml:space="preserve">2) Síntesis Taxonómica por Ejes Técnicos: </w:t>
      </w:r>
      <w:r>
        <w:rPr>
          <w:rFonts w:ascii="Times New Roman" w:hAnsi="Times New Roman"/>
          <w:sz w:val="20"/>
        </w:rPr>
        <w:t>Categorización de enfoques algorítmicos, modalidades de entrada (visión, texto, diseño espacial) y tipologías documentales (PI1 y PI4).</w:t>
      </w:r>
    </w:p>
    <w:p>
      <w:pPr>
        <w:spacing w:line="240" w:lineRule="auto" w:before="40" w:after="0"/>
        <w:ind w:firstLine="200"/>
        <w:jc w:val="both"/>
      </w:pPr>
      <w:r>
        <w:rPr>
          <w:rFonts w:ascii="Times New Roman" w:hAnsi="Times New Roman"/>
          <w:i/>
          <w:sz w:val="20"/>
        </w:rPr>
        <w:t xml:space="preserve">3) Análisis Comparativo de Rendimiento Empírico: </w:t>
      </w:r>
      <w:r>
        <w:rPr>
          <w:rFonts w:ascii="Times New Roman" w:hAnsi="Times New Roman"/>
          <w:sz w:val="20"/>
        </w:rPr>
        <w:t>Cálculo de rangos, medianas y dispersión de métricas de precisión y eficiencia operativa (PI2 y PI3), profundizando en los hallazgos de los 4 estudios nucleares.</w:t>
      </w:r>
    </w:p>
    <w:p>
      <w:pPr>
        <w:keepNext/>
        <w:spacing w:before="200" w:after="80"/>
        <w:ind w:firstLine="0"/>
        <w:jc w:val="center"/>
      </w:pPr>
      <w:r>
        <w:rPr>
          <w:rFonts w:ascii="Times New Roman" w:hAnsi="Times New Roman"/>
          <w:b/>
          <w:sz w:val="20"/>
        </w:rPr>
        <w:t>VIII. AMENAZAS A LA VALIDEZ Y MITIGACIÓN</w:t>
      </w:r>
    </w:p>
    <w:p>
      <w:pPr>
        <w:spacing w:line="240" w:lineRule="auto" w:before="0" w:after="0"/>
        <w:ind w:firstLine="200"/>
        <w:jc w:val="both"/>
      </w:pPr>
      <w:r>
        <w:rPr>
          <w:rFonts w:ascii="Times New Roman" w:hAnsi="Times New Roman"/>
          <w:i w:val="0"/>
          <w:sz w:val="20"/>
        </w:rPr>
        <w:t>Siguiendo las recomendaciones de Kitchenham &amp; Charters [1] y Wohlin et al. [4], se identifican cuatro fuentes principales de sesgo y las acciones sistemáticas implementadas para su mitigación (ver Tabla XIV):</w:t>
      </w:r>
    </w:p>
    <w:p>
      <w:pPr>
        <w:keepNext/>
        <w:spacing w:before="160" w:after="20"/>
        <w:ind w:firstLine="0"/>
        <w:jc w:val="center"/>
      </w:pPr>
      <w:r>
        <w:rPr>
          <w:rFonts w:ascii="Times New Roman" w:hAnsi="Times New Roman"/>
          <w:b/>
          <w:sz w:val="16"/>
        </w:rPr>
        <w:t>TABLA XIV</w:t>
      </w:r>
    </w:p>
    <w:p>
      <w:pPr>
        <w:keepNext/>
        <w:spacing w:before="0" w:after="80"/>
        <w:ind w:firstLine="0"/>
        <w:jc w:val="center"/>
      </w:pPr>
      <w:r>
        <w:rPr>
          <w:rFonts w:ascii="Times New Roman" w:hAnsi="Times New Roman"/>
          <w:b/>
          <w:sz w:val="16"/>
        </w:rPr>
        <w:t>MATRIZ DE AMENAZAS A LA VALIDEZ Y ESTRATEGIAS DE MITIGACIÓN</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single" w:sz="4" w:space="0" w:color="CCCCCC"/>
          <w:insideV w:val="none"/>
        </w:tblBorders>
      </w:tblPr>
      <w:tblGrid>
        <w:gridCol w:w="3426"/>
        <w:gridCol w:w="3426"/>
        <w:gridCol w:w="3426"/>
      </w:tblGrid>
      <w:tr>
        <w:tc>
          <w:tcPr>
            <w:tcW w:type="dxa" w:w="1296"/>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Dimensión de Amenaza</w:t>
            </w:r>
          </w:p>
        </w:tc>
        <w:tc>
          <w:tcPr>
            <w:tcW w:type="dxa" w:w="144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Riesgo Identificado</w:t>
            </w:r>
          </w:p>
        </w:tc>
        <w:tc>
          <w:tcPr>
            <w:tcW w:type="dxa" w:w="2160"/>
            <w:tcMar>
              <w:top w:w="60" w:type="dxa"/>
              <w:bottom w:w="60" w:type="dxa"/>
              <w:left w:w="60" w:type="dxa"/>
              <w:right w:w="60" w:type="dxa"/>
            </w:tcMar>
            <w:shd w:fill="F2F2F2"/>
            <w:vAlign w:val="center"/>
          </w:tcPr>
          <w:p>
            <w:pPr>
              <w:spacing w:before="0" w:after="0" w:line="240" w:lineRule="auto"/>
              <w:ind w:firstLine="0"/>
              <w:jc w:val="center"/>
            </w:pPr>
            <w:r>
              <w:rPr>
                <w:rFonts w:ascii="Times New Roman" w:hAnsi="Times New Roman"/>
                <w:b/>
                <w:sz w:val="16"/>
              </w:rPr>
              <w:t>Estrategia de Mitigación Implementada</w:t>
            </w:r>
          </w:p>
        </w:tc>
      </w:tr>
      <w:tr>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Sesgo de Selección (Selection Bias)</w:t>
            </w:r>
          </w:p>
        </w:tc>
        <w:tc>
          <w:tcPr>
            <w:tcW w:type="dxa" w:w="144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Posible omisión de literatura relevante o sobre-inclusión de estudios no pertinentes.</w:t>
            </w:r>
          </w:p>
        </w:tc>
        <w:tc>
          <w:tcPr>
            <w:tcW w:type="dxa" w:w="216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 Consulta simultánea a dos bases de datos primarias de alto impacto (Scopus y Web of Science Core Collection).</w:t>
              <w:br/>
              <w:t>• Calibración booleana mediante dos iteraciones y validación morfológica con comodines (*).</w:t>
              <w:br/>
              <w:t>• Criterios de inclusión/exclusión codificados y operados de forma unívoca (IN1–IN4, EX1–EX4).</w:t>
            </w:r>
          </w:p>
        </w:tc>
      </w:tr>
      <w:tr>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Sesgo de Publicación (Publication Bias)</w:t>
            </w:r>
          </w:p>
        </w:tc>
        <w:tc>
          <w:tcPr>
            <w:tcW w:type="dxa" w:w="144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Tendencia de la literatura a reportar únicamente resultados positivos o modelos con alto F1-score.</w:t>
            </w:r>
          </w:p>
        </w:tc>
        <w:tc>
          <w:tcPr>
            <w:tcW w:type="dxa" w:w="216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 Inclusión de ponencias en congresos internacionales indexados además de artículos de revista (IN2).</w:t>
              <w:br/>
              <w:t>• Extracción sistemática no solo de valores pico, sino de limitaciones técnicas reportadas en layouts complejos o ruido de escaneo.</w:t>
            </w:r>
          </w:p>
        </w:tc>
      </w:tr>
      <w:tr>
        <w:tc>
          <w:tcPr>
            <w:tcW w:type="dxa" w:w="1296"/>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Sesgo del Evaluador / Extracción (Reviewer Bias)</w:t>
            </w:r>
          </w:p>
        </w:tc>
        <w:tc>
          <w:tcPr>
            <w:tcW w:type="dxa" w:w="144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Subjetividad individual durante el cribado de resúmenes o la asignación de puntajes de calidad QA.</w:t>
            </w:r>
          </w:p>
        </w:tc>
        <w:tc>
          <w:tcPr>
            <w:tcW w:type="dxa" w:w="2160"/>
            <w:tcMar>
              <w:top w:w="40" w:type="dxa"/>
              <w:bottom w:w="40" w:type="dxa"/>
              <w:left w:w="60" w:type="dxa"/>
              <w:right w:w="60" w:type="dxa"/>
            </w:tcMar>
            <w:shd w:fill="FFFFFF"/>
            <w:vAlign w:val="center"/>
          </w:tcPr>
          <w:p>
            <w:pPr>
              <w:spacing w:before="0" w:after="0" w:line="240" w:lineRule="auto"/>
              <w:ind w:firstLine="0"/>
            </w:pPr>
            <w:r>
              <w:rPr>
                <w:rFonts w:ascii="Times New Roman" w:hAnsi="Times New Roman"/>
                <w:sz w:val="16"/>
              </w:rPr>
              <w:t>• Proceso de cribado en doble ciego con dos revisores independientes.</w:t>
              <w:br/>
              <w:t>• Medición cuantitativa de concordancia mediante el coeficiente Kappa de Cohen (κ = 0.86 en cribado, κ = 0.91 en texto completo).</w:t>
              <w:br/>
              <w:t>• Resolución de discrepancias mediante consenso estructurado sobre el texto original.</w:t>
            </w:r>
          </w:p>
        </w:tc>
      </w:tr>
      <w:tr>
        <w:tc>
          <w:tcPr>
            <w:tcW w:type="dxa" w:w="1296"/>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Validez de Constructo (Construct Validity)</w:t>
            </w:r>
          </w:p>
        </w:tc>
        <w:tc>
          <w:tcPr>
            <w:tcW w:type="dxa" w:w="144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Desalineación entre los términos de búsqueda empleados y los conceptos reales de la investigación.</w:t>
            </w:r>
          </w:p>
        </w:tc>
        <w:tc>
          <w:tcPr>
            <w:tcW w:type="dxa" w:w="2160"/>
            <w:tcMar>
              <w:top w:w="40" w:type="dxa"/>
              <w:bottom w:w="40" w:type="dxa"/>
              <w:left w:w="60" w:type="dxa"/>
              <w:right w:w="60" w:type="dxa"/>
            </w:tcMar>
            <w:shd w:fill="FAFAFA"/>
            <w:vAlign w:val="center"/>
          </w:tcPr>
          <w:p>
            <w:pPr>
              <w:spacing w:before="0" w:after="0" w:line="240" w:lineRule="auto"/>
              <w:ind w:firstLine="0"/>
            </w:pPr>
            <w:r>
              <w:rPr>
                <w:rFonts w:ascii="Times New Roman" w:hAnsi="Times New Roman"/>
                <w:sz w:val="16"/>
              </w:rPr>
              <w:t>• Derivación formal de palabras clave a partir de la matriz de descomposición PICOC.</w:t>
              <w:br/>
              <w:t>• Incorporación exhaustiva de sinónimos técnicos en inglés (IDP, Document AI, KIE, LayoutLM, OCR).</w:t>
              <w:br/>
              <w:t>• Validación previa con búsqueda exploratoria de calibración.</w:t>
            </w:r>
          </w:p>
        </w:tc>
      </w:tr>
    </w:tbl>
    <w:p>
      <w:pPr>
        <w:keepNext/>
        <w:spacing w:before="200" w:after="80"/>
        <w:ind w:firstLine="0"/>
        <w:jc w:val="center"/>
      </w:pPr>
      <w:r>
        <w:rPr>
          <w:rFonts w:ascii="Times New Roman" w:hAnsi="Times New Roman"/>
          <w:b/>
          <w:sz w:val="20"/>
        </w:rPr>
        <w:t>IX. CONCLUSIONES Y CADENA DE TRAZABILIDAD</w:t>
      </w:r>
    </w:p>
    <w:p>
      <w:pPr>
        <w:keepNext/>
        <w:spacing w:before="160" w:after="40"/>
        <w:ind w:firstLine="0"/>
        <w:jc w:val="left"/>
      </w:pPr>
      <w:r>
        <w:rPr>
          <w:rFonts w:ascii="Times New Roman" w:hAnsi="Times New Roman"/>
          <w:i/>
          <w:sz w:val="20"/>
        </w:rPr>
        <w:t>A. Cadena de Trazabilidad Metodológica Completa</w:t>
      </w:r>
    </w:p>
    <w:p>
      <w:pPr>
        <w:spacing w:line="240" w:lineRule="auto" w:before="0" w:after="0"/>
        <w:ind w:firstLine="200"/>
        <w:jc w:val="both"/>
      </w:pPr>
      <w:r>
        <w:rPr>
          <w:rFonts w:ascii="Times New Roman" w:hAnsi="Times New Roman"/>
          <w:i w:val="0"/>
          <w:sz w:val="20"/>
        </w:rPr>
        <w:t>El andamiaje metodológico desarrollado garantiza que cada decisión, cifra y resultado sea completamente auditable bajo una secuencia lógica continua y sin rupturas:</w:t>
      </w:r>
    </w:p>
    <w:p>
      <w:pPr>
        <w:spacing w:line="240" w:lineRule="auto" w:before="0" w:after="0"/>
        <w:ind w:firstLine="200"/>
        <w:jc w:val="both"/>
      </w:pPr>
      <w:r>
        <w:rPr>
          <w:rFonts w:ascii="Times New Roman" w:hAnsi="Times New Roman"/>
          <w:i/>
          <w:sz w:val="20"/>
        </w:rPr>
        <w:t>Tema Delimitado → Marco PICOC → Pregunta Maestra (FINER) → Preguntas (PI + PD) → Ecuación Booleana Calibrada → Criterios IN/EX Codificados → Bitácora de Búsqueda (21/09/2026) → Flujo PRISMA 2020 (4 Fases) → Control de Calidad QA + Doble Ciego (Kappa) → Matriz de Mapeo (N = 110) → Estrategia de Síntesis y Resultados Vinculados</w:t>
      </w:r>
    </w:p>
    <w:p>
      <w:pPr>
        <w:keepNext/>
        <w:spacing w:before="160" w:after="40"/>
        <w:ind w:firstLine="0"/>
        <w:jc w:val="left"/>
      </w:pPr>
      <w:r>
        <w:rPr>
          <w:rFonts w:ascii="Times New Roman" w:hAnsi="Times New Roman"/>
          <w:i/>
          <w:sz w:val="20"/>
        </w:rPr>
        <w:t>B. Conformidad y Robustez Metodológica</w:t>
      </w:r>
    </w:p>
    <w:p>
      <w:pPr>
        <w:spacing w:line="240" w:lineRule="auto" w:before="0" w:after="0"/>
        <w:ind w:firstLine="200"/>
        <w:jc w:val="both"/>
      </w:pPr>
      <w:r>
        <w:rPr>
          <w:rFonts w:ascii="Times New Roman" w:hAnsi="Times New Roman"/>
          <w:i w:val="0"/>
          <w:sz w:val="20"/>
        </w:rPr>
        <w:t>Este diseño metodológico asegura la total solidez científica y la plena conformidad con los estándares de investigación y reporte vigentes para revisiones sistemáticas de literatura en ingeniería de software y sistemas de información.</w:t>
      </w:r>
    </w:p>
    <w:p>
      <w:pPr>
        <w:keepNext/>
        <w:spacing w:before="200" w:after="80"/>
        <w:ind w:firstLine="0"/>
        <w:jc w:val="center"/>
      </w:pPr>
      <w:r>
        <w:rPr>
          <w:rFonts w:ascii="Times New Roman" w:hAnsi="Times New Roman"/>
          <w:b/>
          <w:sz w:val="20"/>
        </w:rPr>
        <w:t>RECONOCIMIENTOS</w:t>
      </w:r>
    </w:p>
    <w:p>
      <w:pPr>
        <w:spacing w:line="240" w:lineRule="auto" w:before="0" w:after="0"/>
        <w:ind w:firstLine="200"/>
        <w:jc w:val="both"/>
      </w:pPr>
      <w:r>
        <w:rPr>
          <w:rFonts w:ascii="Times New Roman" w:hAnsi="Times New Roman"/>
          <w:i w:val="0"/>
          <w:sz w:val="20"/>
        </w:rPr>
        <w:t>Los autores expresan su agradecimiento a la Universidad Tecnológica del Perú y al docente asesor Mg. Jimmy Sánchez Portugal por las orientaciones metodológicas y la rigurosa retroalimentación académica brindada durante el desarrollo del presente protocolo de revisión sistemática.</w:t>
      </w:r>
    </w:p>
    <w:p>
      <w:pPr>
        <w:keepNext/>
        <w:spacing w:before="200" w:after="80"/>
        <w:ind w:firstLine="0"/>
        <w:jc w:val="center"/>
      </w:pPr>
      <w:r>
        <w:rPr>
          <w:rFonts w:ascii="Times New Roman" w:hAnsi="Times New Roman"/>
          <w:b/>
          <w:sz w:val="20"/>
        </w:rPr>
        <w:t>REFERENCIAS</w:t>
      </w:r>
    </w:p>
    <w:p>
      <w:pPr>
        <w:spacing w:line="240" w:lineRule="auto" w:before="0" w:after="40"/>
        <w:ind w:left="360" w:hanging="360"/>
        <w:jc w:val="both"/>
      </w:pPr>
      <w:r>
        <w:rPr>
          <w:rFonts w:ascii="Times New Roman" w:hAnsi="Times New Roman"/>
          <w:sz w:val="16"/>
        </w:rPr>
        <w:t xml:space="preserve">[1] </w:t>
      </w:r>
      <w:r>
        <w:rPr>
          <w:rFonts w:ascii="Times New Roman" w:hAnsi="Times New Roman"/>
          <w:sz w:val="16"/>
        </w:rPr>
        <w:t>B. Kitchenham and S. Charters, "Guidelines for performing Systematic Literature Reviews in Software Engineering," Keele Univ. and Durham Univ., Tech. Rep. EBSE-2007-01, 2007.</w:t>
      </w:r>
    </w:p>
    <w:p>
      <w:pPr>
        <w:spacing w:line="240" w:lineRule="auto" w:before="0" w:after="40"/>
        <w:ind w:left="360" w:hanging="360"/>
        <w:jc w:val="both"/>
      </w:pPr>
      <w:r>
        <w:rPr>
          <w:rFonts w:ascii="Times New Roman" w:hAnsi="Times New Roman"/>
          <w:sz w:val="16"/>
        </w:rPr>
        <w:t xml:space="preserve">[2] </w:t>
      </w:r>
      <w:r>
        <w:rPr>
          <w:rFonts w:ascii="Times New Roman" w:hAnsi="Times New Roman"/>
          <w:sz w:val="16"/>
        </w:rPr>
        <w:t>M. J. Page, J. E. McKenzie, P. M. Bossuyt, I. Boutron, T. C. Hoffmann, C. D. Mulrow et al., "The PRISMA 2020 statement: an updated guideline for reporting systematic reviews," BMJ, vol. 372, p. n71, Mar. 2021. doi: 10.1136/bmj.n71</w:t>
      </w:r>
    </w:p>
    <w:p>
      <w:pPr>
        <w:spacing w:line="240" w:lineRule="auto" w:before="0" w:after="40"/>
        <w:ind w:left="360" w:hanging="360"/>
        <w:jc w:val="both"/>
      </w:pPr>
      <w:r>
        <w:rPr>
          <w:rFonts w:ascii="Times New Roman" w:hAnsi="Times New Roman"/>
          <w:sz w:val="16"/>
        </w:rPr>
        <w:t xml:space="preserve">[3] </w:t>
      </w:r>
      <w:r>
        <w:rPr>
          <w:rFonts w:ascii="Times New Roman" w:hAnsi="Times New Roman"/>
          <w:sz w:val="16"/>
        </w:rPr>
        <w:t>J. R. Landis and G. G. Koch, "The measurement of observer agreement for categorical data," Biometrics, vol. 33, no. 1, pp. 159–174, 1977.</w:t>
      </w:r>
    </w:p>
    <w:p>
      <w:pPr>
        <w:spacing w:line="240" w:lineRule="auto" w:before="0" w:after="40"/>
        <w:ind w:left="360" w:hanging="360"/>
        <w:jc w:val="both"/>
      </w:pPr>
      <w:r>
        <w:rPr>
          <w:rFonts w:ascii="Times New Roman" w:hAnsi="Times New Roman"/>
          <w:sz w:val="16"/>
        </w:rPr>
        <w:t xml:space="preserve">[4] </w:t>
      </w:r>
      <w:r>
        <w:rPr>
          <w:rFonts w:ascii="Times New Roman" w:hAnsi="Times New Roman"/>
          <w:sz w:val="16"/>
        </w:rPr>
        <w:t>C. Wohlin, P. Runeson, M. Höst, M. C. Ohlsson, B. Regnell, and A. Wesslén, Experimentation in Software Engineering. Berlin, Germany: Springer Science &amp; Business Media, 2012.</w:t>
      </w:r>
    </w:p>
    <w:p>
      <w:pPr>
        <w:spacing w:line="240" w:lineRule="auto" w:before="0" w:after="40"/>
        <w:ind w:left="360" w:hanging="360"/>
        <w:jc w:val="both"/>
      </w:pPr>
      <w:r>
        <w:rPr>
          <w:rFonts w:ascii="Times New Roman" w:hAnsi="Times New Roman"/>
          <w:sz w:val="16"/>
        </w:rPr>
        <w:t xml:space="preserve">[5] </w:t>
      </w:r>
      <w:r>
        <w:rPr>
          <w:rFonts w:ascii="Times New Roman" w:hAnsi="Times New Roman"/>
          <w:sz w:val="16"/>
        </w:rPr>
        <w:t>H. Wei, M. Gao, X. Zhou, and Z. Chen, "Robust visual information extraction in document images," in Proc. 43rd Int. ACM SIGIR Conf. Res. Dev. Inf. Retrieval (SIGIR '20), 2020, pp. 1399–1408. doi: 10.1145/3397271.3401442</w:t>
      </w:r>
    </w:p>
    <w:p>
      <w:pPr>
        <w:spacing w:line="240" w:lineRule="auto" w:before="0" w:after="40"/>
        <w:ind w:left="360" w:hanging="360"/>
        <w:jc w:val="both"/>
      </w:pPr>
      <w:r>
        <w:rPr>
          <w:rFonts w:ascii="Times New Roman" w:hAnsi="Times New Roman"/>
          <w:sz w:val="16"/>
        </w:rPr>
        <w:t xml:space="preserve">[6] </w:t>
      </w:r>
      <w:r>
        <w:rPr>
          <w:rFonts w:ascii="Times New Roman" w:hAnsi="Times New Roman"/>
          <w:sz w:val="16"/>
        </w:rPr>
        <w:t>W. Hwang, M. Yim, S. Park, S. Yang, and M. Seo, "Spatial dependency parsing for semi-structured document information extraction," in Findings of the Association for Computational Linguistics: ACL-IJCNLP 2021, 2021, pp. 330–343. doi: 10.18653/v1/2021.findings-acl.28</w:t>
      </w:r>
    </w:p>
    <w:p>
      <w:pPr>
        <w:spacing w:line="240" w:lineRule="auto" w:before="0" w:after="40"/>
        <w:ind w:left="360" w:hanging="360"/>
        <w:jc w:val="both"/>
      </w:pPr>
      <w:r>
        <w:rPr>
          <w:rFonts w:ascii="Times New Roman" w:hAnsi="Times New Roman"/>
          <w:sz w:val="16"/>
        </w:rPr>
        <w:t xml:space="preserve">[7] </w:t>
      </w:r>
      <w:r>
        <w:rPr>
          <w:rFonts w:ascii="Times New Roman" w:hAnsi="Times New Roman"/>
          <w:sz w:val="16"/>
        </w:rPr>
        <w:t>S. Devadarshini and S. Karthikeyan, "Automated Invoice Data Extraction Using Deep Learning and Optical Character Recognition," in Proc. 2025 Int. Conf. Next Gener. Comput. Syst. (ICNGCS), 2025, pp. 1–6. doi: 10.1109/icngcs64900.2025.11182987</w:t>
      </w:r>
    </w:p>
    <w:p>
      <w:pPr>
        <w:spacing w:line="240" w:lineRule="auto" w:before="0" w:after="40"/>
        <w:ind w:left="360" w:hanging="360"/>
        <w:jc w:val="both"/>
      </w:pPr>
      <w:r>
        <w:rPr>
          <w:rFonts w:ascii="Times New Roman" w:hAnsi="Times New Roman"/>
          <w:sz w:val="16"/>
        </w:rPr>
        <w:t xml:space="preserve">[8] </w:t>
      </w:r>
      <w:r>
        <w:rPr>
          <w:rFonts w:ascii="Times New Roman" w:hAnsi="Times New Roman"/>
          <w:sz w:val="16"/>
        </w:rPr>
        <w:t>M. Kirsch, A. Schmidt, and F. Bär, "End-to-End Multimodal Information Extraction from Semi-structured Business Documents," in Enterprise Information Systems, ser. LNBIP, Springer, 2025, vol. 542, pp. 142–165. doi: 10.1007/978-3-031-82484-5_7</w:t>
      </w:r>
    </w:p>
    <w:p>
      <w:pPr>
        <w:spacing w:line="240" w:lineRule="auto" w:before="0" w:after="40"/>
        <w:ind w:left="360" w:hanging="360"/>
        <w:jc w:val="both"/>
      </w:pPr>
      <w:r>
        <w:rPr>
          <w:rFonts w:ascii="Times New Roman" w:hAnsi="Times New Roman"/>
          <w:sz w:val="16"/>
        </w:rPr>
        <w:t xml:space="preserve">[9] </w:t>
      </w:r>
      <w:r>
        <w:rPr>
          <w:rFonts w:ascii="Times New Roman" w:hAnsi="Times New Roman"/>
          <w:sz w:val="16"/>
        </w:rPr>
        <w:t>X. Yu, C. Lin, and J. Wang, "Multimodal Transformer with Spatial Prior for Key Information Extraction from Invoices," Electronics, vol. 14, no. 9, p. 1717, 2025. doi: 10.3390/electronics14091717</w:t>
      </w:r>
    </w:p>
    <w:p>
      <w:pPr>
        <w:spacing w:line="240" w:lineRule="auto" w:before="0" w:after="40"/>
        <w:ind w:left="360" w:hanging="360"/>
        <w:jc w:val="both"/>
      </w:pPr>
      <w:r>
        <w:rPr>
          <w:rFonts w:ascii="Times New Roman" w:hAnsi="Times New Roman"/>
          <w:sz w:val="16"/>
        </w:rPr>
        <w:t xml:space="preserve">[10] </w:t>
      </w:r>
      <w:r>
        <w:rPr>
          <w:rFonts w:ascii="Times New Roman" w:hAnsi="Times New Roman"/>
          <w:sz w:val="16"/>
        </w:rPr>
        <w:t>L. Mifsud, R. Farrugia, and J. Abela, "Deep Learning Approaches for Automated Document Validation and Fraud Detection in Financial Workflows," Mach. Learn. Knowl. Extr., vol. 7, no. 4, pp. 167–185, 2025. doi: 10.3390/make7040167</w:t>
      </w:r>
    </w:p>
    <w:p>
      <w:pPr>
        <w:spacing w:line="240" w:lineRule="auto" w:before="0" w:after="40"/>
        <w:ind w:left="360" w:hanging="360"/>
        <w:jc w:val="both"/>
      </w:pPr>
      <w:r>
        <w:rPr>
          <w:rFonts w:ascii="Times New Roman" w:hAnsi="Times New Roman"/>
          <w:sz w:val="16"/>
        </w:rPr>
        <w:t xml:space="preserve">[11] </w:t>
      </w:r>
      <w:r>
        <w:rPr>
          <w:rFonts w:ascii="Times New Roman" w:hAnsi="Times New Roman"/>
          <w:sz w:val="16"/>
        </w:rPr>
        <w:t>K. Shanthi, V. Suresh, and P. Ramesh, "Intelligent Document Processing for Corporate ERP Systems: An Empirical Evaluation of LayoutLMv3 vs Rule Baselines," in Proc. 2025 Int. Conf. Res. Innov. Sci. Eng. Technol. (ICRISET), 2025, pp. 45–52. doi: 10.1109/icriset64803.2025.11252218</w:t>
      </w:r>
    </w:p>
    <w:p>
      <w:pPr>
        <w:spacing w:line="240" w:lineRule="auto" w:before="0" w:after="40"/>
        <w:ind w:left="360" w:hanging="360"/>
        <w:jc w:val="both"/>
      </w:pPr>
      <w:r>
        <w:rPr>
          <w:rFonts w:ascii="Times New Roman" w:hAnsi="Times New Roman"/>
          <w:sz w:val="16"/>
        </w:rPr>
        <w:t xml:space="preserve">[12] </w:t>
      </w:r>
      <w:r>
        <w:rPr>
          <w:rFonts w:ascii="Times New Roman" w:hAnsi="Times New Roman"/>
          <w:sz w:val="16"/>
        </w:rPr>
        <w:t>S. Jena, K. Mohanty, and A. Mishra, "End-to-End Invoice Processing Framework with Graph Neural Networks," in Proc. 2023 Conf. Inf. Commun. Technol. (CICT), 2023, pp. 1–6. doi: 10.1109/CICT59886.2023.10455123</w:t>
      </w:r>
    </w:p>
    <w:p>
      <w:pPr>
        <w:spacing w:line="240" w:lineRule="auto" w:before="0" w:after="40"/>
        <w:ind w:left="360" w:hanging="360"/>
        <w:jc w:val="both"/>
      </w:pPr>
      <w:r>
        <w:rPr>
          <w:rFonts w:ascii="Times New Roman" w:hAnsi="Times New Roman"/>
          <w:sz w:val="16"/>
        </w:rPr>
        <w:t xml:space="preserve">[13] </w:t>
      </w:r>
      <w:r>
        <w:rPr>
          <w:rFonts w:ascii="Times New Roman" w:hAnsi="Times New Roman"/>
          <w:sz w:val="16"/>
        </w:rPr>
        <w:t>P. Sara, M. K. Panda, and T. K. Roy, "Graph Convolutional Networks for Information Extraction from Form Documents," IEEE Trans. Pattern Anal. Mach. Intell., vol. 44, no. 8, pp. 4120–4134, 2022. doi: 10.1109/TPAMI.2022.3184920</w:t>
      </w:r>
    </w:p>
    <w:p>
      <w:pPr>
        <w:spacing w:line="240" w:lineRule="auto" w:before="0" w:after="40"/>
        <w:ind w:left="360" w:hanging="360"/>
        <w:jc w:val="both"/>
      </w:pPr>
      <w:r>
        <w:rPr>
          <w:rFonts w:ascii="Times New Roman" w:hAnsi="Times New Roman"/>
          <w:sz w:val="16"/>
        </w:rPr>
        <w:t xml:space="preserve">[14] </w:t>
      </w:r>
      <w:r>
        <w:rPr>
          <w:rFonts w:ascii="Times New Roman" w:hAnsi="Times New Roman"/>
          <w:sz w:val="16"/>
        </w:rPr>
        <w:t>H. Lee, S. Park, and K. Kim, "Enterprise Document Workflow Integration and Robotic Process Automation," J. Syst. Archit., vol. 148, p. 103120, 2024. doi: 10.1016/j.sysarc.2024.103120</w:t>
      </w:r>
    </w:p>
    <w:p>
      <w:pPr>
        <w:spacing w:line="240" w:lineRule="auto" w:before="0" w:after="40"/>
        <w:ind w:left="360" w:hanging="360"/>
        <w:jc w:val="both"/>
      </w:pPr>
      <w:r>
        <w:rPr>
          <w:rFonts w:ascii="Times New Roman" w:hAnsi="Times New Roman"/>
          <w:sz w:val="16"/>
        </w:rPr>
        <w:t xml:space="preserve">[15] </w:t>
      </w:r>
      <w:r>
        <w:rPr>
          <w:rFonts w:ascii="Times New Roman" w:hAnsi="Times New Roman"/>
          <w:sz w:val="16"/>
        </w:rPr>
        <w:t>K. Alla, "Comparative Analysis of Document AI Platforms in Enterprise Cloud Ecosystems," in Proc. 2025 Int. Conf. Artif. Intell. Quality Softw. Appl. (ICAIQSA), 2025, pp. 112–119. doi: 10.1109/icaiqsa67794.2025.11440602</w:t>
      </w:r>
    </w:p>
    <w:p>
      <w:pPr>
        <w:spacing w:line="240" w:lineRule="auto" w:before="0" w:after="40"/>
        <w:ind w:left="360" w:hanging="360"/>
        <w:jc w:val="both"/>
      </w:pPr>
      <w:r>
        <w:rPr>
          <w:rFonts w:ascii="Times New Roman" w:hAnsi="Times New Roman"/>
          <w:sz w:val="16"/>
        </w:rPr>
        <w:t xml:space="preserve">[16] </w:t>
      </w:r>
      <w:r>
        <w:rPr>
          <w:rFonts w:ascii="Times New Roman" w:hAnsi="Times New Roman"/>
          <w:sz w:val="16"/>
        </w:rPr>
        <w:t>Y. Cho, D. Lim, and J. Yoon, "Benchmarking Metric Standards for Visual Information Extraction: Beyond Entity F1-Score," Comput. Vis. Image Underst., vol. 228, p. 103789, 2023. doi: 10.1016/j.cviu.2023.103789</w:t>
      </w:r>
    </w:p>
    <w:sectPr w:rsidR="00FC693F" w:rsidRPr="0006063C" w:rsidSect="00034616">
      <w:headerReference w:type="default" r:id="rId11"/>
      <w:footerReference w:type="default" r:id="rId12"/>
      <w:type w:val="continuous"/>
      <w:pgSz w:w="12240" w:h="15840"/>
      <w:pgMar w:top="1077" w:right="981" w:bottom="1440" w:left="981" w:header="720" w:footer="720" w:gutter="0"/>
      <w:cols w:space="2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