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19"/>
        </w:rPr>
        <w:t>UNIVERSIDAD TECNOLÓGICA DEL PERÚ</w:t>
        <w:br/>
        <w:t>FACULTAD DE INGENIERÍA DE SISTEMAS E INFORMÁTICA</w:t>
      </w:r>
    </w:p>
    <w:p>
      <w:pPr>
        <w:spacing w:before="120" w:after="80"/>
        <w:jc w:val="center"/>
      </w:pPr>
      <w:r>
        <w:rPr>
          <w:b/>
          <w:sz w:val="32"/>
        </w:rPr>
        <w:t>Sección II: Metodología de la Revisión Sistemática de la Literatura</w:t>
        <w:br/>
        <w:t>Inteligencia Artificial para la Automatización del Registro y Validación de Documentos Empresariales</w:t>
      </w:r>
    </w:p>
    <w:p>
      <w:pPr>
        <w:spacing w:before="40" w:after="20"/>
        <w:jc w:val="center"/>
      </w:pPr>
      <w:r>
        <w:rPr>
          <w:b/>
          <w:sz w:val="20"/>
        </w:rPr>
        <w:t>Rodrigo Eduardo Gallegos Cartagena, Sergio André Rupay Huancachoque</w:t>
      </w:r>
    </w:p>
    <w:p>
      <w:pPr>
        <w:spacing w:before="0" w:after="120"/>
        <w:jc w:val="center"/>
      </w:pPr>
      <w:r>
        <w:rPr>
          <w:i/>
          <w:sz w:val="17"/>
        </w:rPr>
        <w:t>Facultad de Ingeniería de Sistemas e Informática, Universidad Tecnológica del Perú, Lima, Perú</w:t>
        <w:br/>
        <w:t>Docente Asesor: Mg. Jimmy Sánchez Portugal | Formación para la Investigación</w:t>
        <w:br/>
        <w:t>Entregable Oficial: Metodología de RSL | Corpus Final: N = 131 estudios primarios (4 nucleares)</w:t>
      </w:r>
    </w:p>
    <w:p>
      <w:pPr>
        <w:spacing w:before="80" w:after="40"/>
        <w:ind w:left="432" w:right="432"/>
      </w:pPr>
      <w:r>
        <w:rPr>
          <w:b/>
          <w:i/>
          <w:sz w:val="17"/>
        </w:rPr>
        <w:t xml:space="preserve">Resumen Metodológico— </w:t>
      </w:r>
      <w:r>
        <w:rPr>
          <w:sz w:val="17"/>
        </w:rPr>
        <w:t>Este documento formaliza la metodología rigurosa para la Revisión Sistemática de Literatura (RSL) sobre la automatización del registro y validación de documentos empresariales (facturas, recibos, órdenes de compra y tablas financieras) mediante Inteligencia Artificial (IA) y Procesamiento Inteligente de Documentos (IDP). Bajo las directrices de Kitchenham &amp; Charters (2007) y la declaración PRISMA 2020, se ejecutó una búsqueda calibrada en Scopus (n = 311) y Web of Science Core Collection (n = 266), recuperando 577 registros brutos 100% de revista científica. Tras deduplicación determinista (239 duplicados eliminados), cribado en doble ciego independiente (κ = 0.88, 41 excluidos sin ruido médico) y elegibilidad a texto completo (κ = 0.92, 166 excluidos, incluyendo 20 justificados bajo AMSTAR 2 ítem 7 y 146 de OCR genérico no empresarial), se consolidó un corpus final de N = 131 estudios primarios de revista científica (100% Journal Articles). Se evaluó la calidad metodológica mediante 5 preguntas objetivas (QA &gt;= 3.0/5.0, media global = 4.60/5.0), identificando cuatro estudios nucleares de alto impacto (Elsevier Q1, IEEE Q1, MDPI Q2) y estructurando la síntesis en torno a cuatro preguntas de investigación temáticas y tres descriptivas.</w:t>
      </w:r>
    </w:p>
    <w:p>
      <w:pPr>
        <w:spacing w:before="40" w:after="200"/>
        <w:ind w:left="432" w:right="432"/>
      </w:pPr>
      <w:r>
        <w:rPr>
          <w:b/>
          <w:i/>
          <w:sz w:val="17"/>
        </w:rPr>
        <w:t xml:space="preserve">Palabras clave— </w:t>
      </w:r>
      <w:r>
        <w:rPr>
          <w:sz w:val="17"/>
        </w:rPr>
        <w:t>Revisión sistemática de literatura, PRISMA 2020, Kitchenham, procesamiento inteligente de documentos (IDP), ERP, transformers multimodales, calidad metodológica QA, AMSTAR 2.</w:t>
      </w:r>
    </w:p>
    <w:p>
      <w:pPr>
        <w:sectPr>
          <w:headerReference w:type="default" r:id="rId9"/>
          <w:pgSz w:w="12240" w:h="15840"/>
          <w:pgMar w:top="1077" w:right="981" w:bottom="1440" w:left="981" w:header="720" w:footer="720" w:gutter="0"/>
          <w:cols w:space="266" w:num="1"/>
          <w:docGrid w:linePitch="360"/>
        </w:sectPr>
      </w:pPr>
    </w:p>
    <w:p>
      <w:pPr>
        <w:keepNext/>
        <w:spacing w:before="200" w:after="60"/>
        <w:jc w:val="center"/>
      </w:pPr>
      <w:r>
        <w:rPr>
          <w:b/>
          <w:sz w:val="19"/>
        </w:rPr>
        <w:t>I. ENCUADRE METODOLÓGICO Y ESTÁNDARES</w:t>
      </w:r>
    </w:p>
    <w:p>
      <w:pPr>
        <w:spacing w:line="240" w:lineRule="auto" w:before="0" w:after="60"/>
        <w:jc w:val="both"/>
      </w:pPr>
      <w:r>
        <w:rPr>
          <w:i w:val="0"/>
          <w:sz w:val="18"/>
        </w:rPr>
        <w:t>La investigación adopta el estándar de Revisión Sistemática de la Literatura (RSL) propuesto por Kitchenham &amp; Charters (2007) [1] para la ingeniería de software y sistemas de información, complementado con las directrices PRISMA 2020 [2] para garantizar la transparencia, reproducibilidad y mitigación sistemática de sesgos de selección y confirmación.</w:t>
      </w:r>
    </w:p>
    <w:p>
      <w:pPr>
        <w:keepNext/>
        <w:spacing w:before="200" w:after="60"/>
        <w:jc w:val="center"/>
      </w:pPr>
      <w:r>
        <w:rPr>
          <w:b/>
          <w:sz w:val="19"/>
        </w:rPr>
        <w:t>II. DELIMITACIÓN TEMÁTICA Y MARCO PICOC</w:t>
      </w:r>
    </w:p>
    <w:p>
      <w:pPr>
        <w:spacing w:line="240" w:lineRule="auto" w:before="0" w:after="60"/>
        <w:jc w:val="both"/>
      </w:pPr>
      <w:r>
        <w:rPr>
          <w:i w:val="0"/>
          <w:sz w:val="18"/>
        </w:rPr>
        <w:t>Para garantizar la pertinencia corporativa y excluir ámbitos no empresariales (como expedientes clínicos o trámites estatales), se aplicó el marco PICOC (ver Tabla I):</w:t>
      </w:r>
    </w:p>
    <w:p>
      <w:pPr>
        <w:keepNext/>
        <w:spacing w:before="120" w:after="20"/>
        <w:jc w:val="center"/>
      </w:pPr>
      <w:r>
        <w:rPr>
          <w:b/>
          <w:sz w:val="15"/>
        </w:rPr>
        <w:t>TABLA I</w:t>
        <w:br/>
      </w:r>
      <w:r>
        <w:rPr>
          <w:sz w:val="15"/>
        </w:rPr>
        <w:t>COMPONENTES DEL MARCO PICOC</w:t>
      </w:r>
    </w:p>
    <w:tbl>
      <w:tblPr>
        <w:tblW w:type="auto" w:w="0"/>
        <w:jc w:val="center"/>
        <w:tblLook w:firstColumn="1" w:firstRow="1" w:lastColumn="0" w:lastRow="0" w:noHBand="0" w:noVBand="1" w:val="04A0"/>
      </w:tblPr>
      <w:tblGrid>
        <w:gridCol w:w="3426"/>
        <w:gridCol w:w="3426"/>
        <w:gridCol w:w="3426"/>
      </w:tblGrid>
      <w:tr>
        <w:trPr>
          <w:cantSplit/>
          <w:tblHeader/>
        </w:trPr>
        <w:tc>
          <w:tcPr>
            <w:tcW w:type="dxa" w:w="1152"/>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4"/>
              </w:rPr>
              <w:t>Componente</w:t>
            </w:r>
          </w:p>
        </w:tc>
        <w:tc>
          <w:tcPr>
            <w:tcW w:type="dxa" w:w="2160"/>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4"/>
              </w:rPr>
              <w:t>Definición para este Estudio</w:t>
            </w:r>
          </w:p>
        </w:tc>
        <w:tc>
          <w:tcPr>
            <w:tcW w:type="dxa" w:w="1584"/>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4"/>
              </w:rPr>
              <w:t>Justificación Metodológica</w:t>
            </w:r>
          </w:p>
        </w:tc>
      </w:tr>
      <w:tr>
        <w:trPr>
          <w:cantSplit/>
        </w:trPr>
        <w:tc>
          <w:tcPr>
            <w:tcW w:type="dxa" w:w="115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P — Población</w:t>
            </w:r>
          </w:p>
        </w:tc>
        <w:tc>
          <w:tcPr>
            <w:tcW w:type="dxa" w:w="216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Sistemas de información empresariales (ERP, CRM, DMS) y flujos internos de registro documental.</w:t>
            </w:r>
          </w:p>
        </w:tc>
        <w:tc>
          <w:tcPr>
            <w:tcW w:type="dxa" w:w="158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Entorno operativo corporativo donde se generan cuellos de botella por ingreso manual.</w:t>
            </w:r>
          </w:p>
        </w:tc>
      </w:tr>
      <w:tr>
        <w:trPr>
          <w:cantSplit/>
        </w:trPr>
        <w:tc>
          <w:tcPr>
            <w:tcW w:type="dxa" w:w="115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I — Intervención</w:t>
            </w:r>
          </w:p>
        </w:tc>
        <w:tc>
          <w:tcPr>
            <w:tcW w:type="dxa" w:w="216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Modelos de IA e IDP (Visión-Lenguaje, LayoutLM, Transformers multimodales, KIE, OCR profundo).</w:t>
            </w:r>
          </w:p>
        </w:tc>
        <w:tc>
          <w:tcPr>
            <w:tcW w:type="dxa" w:w="158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Tecnología de automatización cognitiva cuyo rendimiento empírico se evalúa.</w:t>
            </w:r>
          </w:p>
        </w:tc>
      </w:tr>
      <w:tr>
        <w:trPr>
          <w:cantSplit/>
        </w:trPr>
        <w:tc>
          <w:tcPr>
            <w:tcW w:type="dxa" w:w="115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C — Comparación</w:t>
            </w:r>
          </w:p>
        </w:tc>
        <w:tc>
          <w:tcPr>
            <w:tcW w:type="dxa" w:w="216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Ingreso manual de datos o procesamiento tradicional basado en reglas fijas y plantillas rígidas.</w:t>
            </w:r>
          </w:p>
        </w:tc>
        <w:tc>
          <w:tcPr>
            <w:tcW w:type="dxa" w:w="158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Línea base convencional frente a la cual se mide la ganancia en exactitud y velocidad.</w:t>
            </w:r>
          </w:p>
        </w:tc>
      </w:tr>
      <w:tr>
        <w:trPr>
          <w:cantSplit/>
        </w:trPr>
        <w:tc>
          <w:tcPr>
            <w:tcW w:type="dxa" w:w="115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O — Resultado</w:t>
            </w:r>
          </w:p>
        </w:tc>
        <w:tc>
          <w:tcPr>
            <w:tcW w:type="dxa" w:w="216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Niveles de automatización, reducción de carga laboral, exactitud (F1-score, CER/WER) y latencia.</w:t>
            </w:r>
          </w:p>
        </w:tc>
        <w:tc>
          <w:tcPr>
            <w:tcW w:type="dxa" w:w="158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Variables cuantitativas críticas para la viabilidad técnica y operativa.</w:t>
            </w:r>
          </w:p>
        </w:tc>
      </w:tr>
      <w:tr>
        <w:trPr>
          <w:cantSplit/>
        </w:trPr>
        <w:tc>
          <w:tcPr>
            <w:tcW w:type="dxa" w:w="115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C — Contexto</w:t>
            </w:r>
          </w:p>
        </w:tc>
        <w:tc>
          <w:tcPr>
            <w:tcW w:type="dxa" w:w="216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Entornos empresariales corporativos privados y ventana temporal comprendida entre 2020 y 2025.</w:t>
            </w:r>
          </w:p>
        </w:tc>
        <w:tc>
          <w:tcPr>
            <w:tcW w:type="dxa" w:w="158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Período de maduración de los modelos neuronales multimodales aplicados.</w:t>
            </w:r>
          </w:p>
        </w:tc>
      </w:tr>
    </w:tbl>
    <w:p>
      <w:pPr>
        <w:keepNext/>
        <w:spacing w:before="200" w:after="60"/>
        <w:jc w:val="center"/>
      </w:pPr>
      <w:r>
        <w:rPr>
          <w:b/>
          <w:sz w:val="19"/>
        </w:rPr>
        <w:t>III. PREGUNTAS DE INVESTIGACIÓN (PI Y PD)</w:t>
      </w:r>
    </w:p>
    <w:p>
      <w:pPr>
        <w:spacing w:line="240" w:lineRule="auto" w:before="0" w:after="60"/>
        <w:jc w:val="both"/>
      </w:pPr>
      <w:r>
        <w:rPr>
          <w:i w:val="0"/>
          <w:sz w:val="18"/>
        </w:rPr>
        <w:t>La pregunta maestra de investigación se descompone en cuatro Preguntas de Investigación (PI) temáticas y tres Preguntas Descriptivas (PD) de mapeo bibliométrico (ver Tabla II):</w:t>
      </w:r>
    </w:p>
    <w:p>
      <w:pPr>
        <w:keepNext/>
        <w:spacing w:before="120" w:after="20"/>
        <w:jc w:val="center"/>
      </w:pPr>
      <w:r>
        <w:rPr>
          <w:b/>
          <w:sz w:val="15"/>
        </w:rPr>
        <w:t>TABLA II</w:t>
        <w:br/>
      </w:r>
      <w:r>
        <w:rPr>
          <w:sz w:val="15"/>
        </w:rPr>
        <w:t>PREGUNTAS DE INVESTIGACIÓN TEMÁTICAS (PI) Y BIBLIOMÉTRICAS (PD)</w:t>
      </w:r>
    </w:p>
    <w:tbl>
      <w:tblPr>
        <w:tblW w:type="auto" w:w="0"/>
        <w:jc w:val="center"/>
        <w:tblLook w:firstColumn="1" w:firstRow="1" w:lastColumn="0" w:lastRow="0" w:noHBand="0" w:noVBand="1" w:val="04A0"/>
      </w:tblPr>
      <w:tblGrid>
        <w:gridCol w:w="3426"/>
        <w:gridCol w:w="3426"/>
        <w:gridCol w:w="3426"/>
      </w:tblGrid>
      <w:tr>
        <w:trPr>
          <w:cantSplit/>
          <w:tblHeader/>
        </w:trPr>
        <w:tc>
          <w:tcPr>
            <w:tcW w:type="dxa" w:w="576"/>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4"/>
              </w:rPr>
              <w:t>Código</w:t>
            </w:r>
          </w:p>
        </w:tc>
        <w:tc>
          <w:tcPr>
            <w:tcW w:type="dxa" w:w="2880"/>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4"/>
              </w:rPr>
              <w:t>Pregunta de Investigación Formulada</w:t>
            </w:r>
          </w:p>
        </w:tc>
        <w:tc>
          <w:tcPr>
            <w:tcW w:type="dxa" w:w="1440"/>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4"/>
              </w:rPr>
              <w:t>Eje de Evidencia / PICOC</w:t>
            </w:r>
          </w:p>
        </w:tc>
      </w:tr>
      <w:tr>
        <w:trPr>
          <w:cantSplit/>
        </w:trPr>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PI1</w:t>
            </w:r>
          </w:p>
        </w:tc>
        <w:tc>
          <w:tcPr>
            <w:tcW w:type="dxa" w:w="288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¿Qué arquitecturas y enfoques algorítmicos de IA/IDP (secuencias, grafos, transformers multimodales, VLM) se han implementado en documentos empresariales?</w:t>
            </w:r>
          </w:p>
        </w:tc>
        <w:tc>
          <w:tcPr>
            <w:tcW w:type="dxa" w:w="144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Enfoques algorítmicos (Intervención)</w:t>
            </w:r>
          </w:p>
        </w:tc>
      </w:tr>
      <w:tr>
        <w:trPr>
          <w:cantSplit/>
        </w:trPr>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PI2</w:t>
            </w:r>
          </w:p>
        </w:tc>
        <w:tc>
          <w:tcPr>
            <w:tcW w:type="dxa" w:w="288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¿Qué niveles de rendimiento cuantitativo (F1-score, exactitud, reducción de latencia) reportan las soluciones de IA/IDP en extracción documental?</w:t>
            </w:r>
          </w:p>
        </w:tc>
        <w:tc>
          <w:tcPr>
            <w:tcW w:type="dxa" w:w="144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Rendimiento cuantitativo (Outcome)</w:t>
            </w:r>
          </w:p>
        </w:tc>
      </w:tr>
      <w:tr>
        <w:trPr>
          <w:cantSplit/>
        </w:trPr>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PI3</w:t>
            </w:r>
          </w:p>
        </w:tc>
        <w:tc>
          <w:tcPr>
            <w:tcW w:type="dxa" w:w="288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¿En qué medida el procesamiento con IA/IDP reduce tiempos de respuesta y costos operativos frente al ingreso manual y reglas?</w:t>
            </w:r>
          </w:p>
        </w:tc>
        <w:tc>
          <w:tcPr>
            <w:tcW w:type="dxa" w:w="144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Contraste vs tradicional (Comparación)</w:t>
            </w:r>
          </w:p>
        </w:tc>
      </w:tr>
      <w:tr>
        <w:trPr>
          <w:cantSplit/>
        </w:trPr>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PI4</w:t>
            </w:r>
          </w:p>
        </w:tc>
        <w:tc>
          <w:tcPr>
            <w:tcW w:type="dxa" w:w="288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¿En qué tipologías documentales (facturas, recibos, órdenes) y sistemas ERP/CRM se han validado empíricamente los modelos?</w:t>
            </w:r>
          </w:p>
        </w:tc>
        <w:tc>
          <w:tcPr>
            <w:tcW w:type="dxa" w:w="144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Aplicabilidad corporativa (Población)</w:t>
            </w:r>
          </w:p>
        </w:tc>
      </w:tr>
      <w:tr>
        <w:trPr>
          <w:cantSplit/>
        </w:trPr>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PD1</w:t>
            </w:r>
          </w:p>
        </w:tc>
        <w:tc>
          <w:tcPr>
            <w:tcW w:type="dxa" w:w="288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¿Cómo ha evolucionado el volumen de producción científica anual sobre IA/IDP entre 2020 y 2025?</w:t>
            </w:r>
          </w:p>
        </w:tc>
        <w:tc>
          <w:tcPr>
            <w:tcW w:type="dxa" w:w="144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Evolución temporal (Contexto)</w:t>
            </w:r>
          </w:p>
        </w:tc>
      </w:tr>
      <w:tr>
        <w:trPr>
          <w:cantSplit/>
        </w:trPr>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PD2</w:t>
            </w:r>
          </w:p>
        </w:tc>
        <w:tc>
          <w:tcPr>
            <w:tcW w:type="dxa" w:w="288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¿Qué autores, revistas indexadas y países concentran la mayor productividad e impacto académico?</w:t>
            </w:r>
          </w:p>
        </w:tc>
        <w:tc>
          <w:tcPr>
            <w:tcW w:type="dxa" w:w="144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Productividad y canales científicos</w:t>
            </w:r>
          </w:p>
        </w:tc>
      </w:tr>
      <w:tr>
        <w:trPr>
          <w:cantSplit/>
        </w:trPr>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PD3</w:t>
            </w:r>
          </w:p>
        </w:tc>
        <w:tc>
          <w:tcPr>
            <w:tcW w:type="dxa" w:w="288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¿Qué diseños metodológicos y tipologías de datasets (públicos vs. privados) predominan en la literatura?</w:t>
            </w:r>
          </w:p>
        </w:tc>
        <w:tc>
          <w:tcPr>
            <w:tcW w:type="dxa" w:w="144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Madurez empírica y reproducibilidad</w:t>
            </w:r>
          </w:p>
        </w:tc>
      </w:tr>
    </w:tbl>
    <w:p>
      <w:pPr>
        <w:keepNext/>
        <w:spacing w:before="200" w:after="60"/>
        <w:jc w:val="center"/>
      </w:pPr>
      <w:r>
        <w:rPr>
          <w:b/>
          <w:sz w:val="19"/>
        </w:rPr>
        <w:t>IV. ESTRATEGIA DE BÚSQUEDA Y ECUACIONES CALIBRADAS</w:t>
      </w:r>
    </w:p>
    <w:p>
      <w:pPr>
        <w:spacing w:line="240" w:lineRule="auto" w:before="0" w:after="60"/>
        <w:jc w:val="both"/>
      </w:pPr>
      <w:r>
        <w:rPr>
          <w:i w:val="0"/>
          <w:sz w:val="18"/>
        </w:rPr>
        <w:t>La ecuación booleana se construyó mediante bloques sintácticos simétricos adaptados a Scopus y Web of Science. Para resolver de raíz el falso positivo del acrónimo 'ERP' (que recuperaba estudios biomédicos de Event-Related Potentials en neurofisiología), se sustituyó la sigla aislada por las formas compuestas 'enterprise resource planning' OR 'ERP system*', erradicando el 100% del ruido médico (ver Tabla III).</w:t>
      </w:r>
    </w:p>
    <w:p>
      <w:pPr>
        <w:keepNext/>
        <w:spacing w:before="120" w:after="20"/>
        <w:jc w:val="center"/>
      </w:pPr>
      <w:r>
        <w:rPr>
          <w:b/>
          <w:sz w:val="15"/>
        </w:rPr>
        <w:t>TABLA III</w:t>
        <w:br/>
      </w:r>
      <w:r>
        <w:rPr>
          <w:sz w:val="15"/>
        </w:rPr>
        <w:t>MATRIZ DE DESCRIPTORES Y ECUACIÓN BOOLEANA CALIBRADA</w:t>
      </w:r>
    </w:p>
    <w:tbl>
      <w:tblPr>
        <w:tblW w:type="auto" w:w="0"/>
        <w:jc w:val="center"/>
        <w:tblLook w:firstColumn="1" w:firstRow="1" w:lastColumn="0" w:lastRow="0" w:noHBand="0" w:noVBand="1" w:val="04A0"/>
      </w:tblPr>
      <w:tblGrid>
        <w:gridCol w:w="3426"/>
        <w:gridCol w:w="3426"/>
        <w:gridCol w:w="3426"/>
      </w:tblGrid>
      <w:tr>
        <w:trPr>
          <w:cantSplit/>
          <w:tblHeader/>
        </w:trPr>
        <w:tc>
          <w:tcPr>
            <w:tcW w:type="dxa" w:w="1008"/>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4"/>
              </w:rPr>
              <w:t>Bloque</w:t>
            </w:r>
          </w:p>
        </w:tc>
        <w:tc>
          <w:tcPr>
            <w:tcW w:type="dxa" w:w="1584"/>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4"/>
              </w:rPr>
              <w:t>Concepto Base</w:t>
            </w:r>
          </w:p>
        </w:tc>
        <w:tc>
          <w:tcPr>
            <w:tcW w:type="dxa" w:w="2304"/>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4"/>
              </w:rPr>
              <w:t>Descriptores y Sinónimos Técnicos en Inglés</w:t>
            </w:r>
          </w:p>
        </w:tc>
      </w:tr>
      <w:tr>
        <w:trPr>
          <w:cantSplit/>
        </w:trPr>
        <w:tc>
          <w:tcPr>
            <w:tcW w:type="dxa" w:w="100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Población</w:t>
            </w:r>
          </w:p>
        </w:tc>
        <w:tc>
          <w:tcPr>
            <w:tcW w:type="dxa" w:w="158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Sistemas empresariales y documentos</w:t>
            </w:r>
          </w:p>
        </w:tc>
        <w:tc>
          <w:tcPr>
            <w:tcW w:type="dxa" w:w="230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"business document*" OR "financial document*" OR "invoice*" OR "receipt*" OR "commercial document*" OR "purchase order*" OR "visually-rich document*" OR "enterprise resource planning" OR "ERP system*"</w:t>
            </w:r>
          </w:p>
        </w:tc>
      </w:tr>
      <w:tr>
        <w:trPr>
          <w:cantSplit/>
        </w:trPr>
        <w:tc>
          <w:tcPr>
            <w:tcW w:type="dxa" w:w="100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Intervención</w:t>
            </w:r>
          </w:p>
        </w:tc>
        <w:tc>
          <w:tcPr>
            <w:tcW w:type="dxa" w:w="158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IA y procesamiento documental</w:t>
            </w:r>
          </w:p>
        </w:tc>
        <w:tc>
          <w:tcPr>
            <w:tcW w:type="dxa" w:w="230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"intelligent document processing" OR "IDP" OR "document AI" OR "document understanding" OR "key information extraction" OR "KIE" OR "LayoutLM*" OR "optical character recognition" OR "OCR" OR "multimodal transformer*" OR "vision-language"</w:t>
            </w:r>
          </w:p>
        </w:tc>
      </w:tr>
      <w:tr>
        <w:trPr>
          <w:cantSplit/>
        </w:trPr>
        <w:tc>
          <w:tcPr>
            <w:tcW w:type="dxa" w:w="100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Resultado</w:t>
            </w:r>
          </w:p>
        </w:tc>
        <w:tc>
          <w:tcPr>
            <w:tcW w:type="dxa" w:w="158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Automatización, exactitud y eficiencia</w:t>
            </w:r>
          </w:p>
        </w:tc>
        <w:tc>
          <w:tcPr>
            <w:tcW w:type="dxa" w:w="230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"automat*" OR "extract*" OR "recognition" OR "accuracy" OR "F1" OR "performance" OR "efficiency" OR "throughput"</w:t>
            </w:r>
          </w:p>
        </w:tc>
      </w:tr>
    </w:tbl>
    <w:p>
      <w:pPr>
        <w:spacing w:line="240" w:lineRule="auto" w:before="0" w:after="60"/>
        <w:jc w:val="both"/>
      </w:pPr>
      <w:r>
        <w:rPr>
          <w:b/>
          <w:sz w:val="18"/>
        </w:rPr>
        <w:t xml:space="preserve">Evolución y Calibración Metodológica de Ecuaciones (Iteración 1 vs. Iteración 2): </w:t>
      </w:r>
      <w:r>
        <w:rPr>
          <w:i w:val="0"/>
          <w:sz w:val="18"/>
        </w:rPr>
        <w:t>En la fase exploratoria preliminar se ejecutó una búsqueda piloto (Iteración 1) con descriptores rígidos de ERP y OCR clásico ('ERP' aislado AND 'OCR' AND 'document processing'), arrojando 140 registros en Scopus y 123 en WoS. Dicha iteración fue formalmente descartada por dos deficiencias metodológicas críticas: (a) un 28.5% de contaminación semántica derivada del acrónimo 'ERP' (estudios médicos de potenciales evocados en EEG) y (b) la omisión inadvertida de la literatura moderna de KIE, arquitecturas multimodales (LayoutLM, DocFormer) y comprensión de documentos visualmente ricos (VRD). Para subsanar esto, se diseñó la Iteración 2 (calibrada definitiva, archivada en scopus_export_it2.csv y wos_export_it2.xls), la cual expandió los términos a expresiones compuestas ('enterprise resource planning' OR 'ERP system*'), incorporó operadores booleanos para modelos de visión-lenguaje y limitó la tipología documental estrictamente a artículos de revista arbitrados (Document Type = Article). Esta calibración recuperó 3,270 registros brutos en Scopus y 431 en WoS (3,701 brutos), que tras filtros nativos se redujeron a 311 y 266 registros respectivamente (total n = 577), garantizando 0% de ruido médico y máxima exhaustividad temática.</w:t>
      </w:r>
    </w:p>
    <w:p>
      <w:pPr>
        <w:spacing w:line="240" w:lineRule="auto" w:before="0" w:after="60"/>
        <w:jc w:val="both"/>
      </w:pPr>
      <w:r>
        <w:rPr>
          <w:b/>
          <w:sz w:val="18"/>
        </w:rPr>
        <w:t xml:space="preserve">Nota Aclaratoria sobre Publicaciones Anticipadas (Early Access 2025/2026): </w:t>
      </w:r>
      <w:r>
        <w:rPr>
          <w:i w:val="0"/>
          <w:sz w:val="18"/>
        </w:rPr>
        <w:t>Dentro del corpus final se identifican tres artículos ([3] Wei et al., [65] Giovannini et al., y [66] Raja et al.) cuya fecha de asignación formal a volumen o fascículo de revista impresa figura con año 2026. Se aclara que dichos registros fueron publicados oficialmente en línea en modalidad Early Access / Advance Online Publication entre agosto y diciembre de 2025. Por este motivo, tanto Scopus como Web of Science Core Collection los indexan legítimamente dentro del rango temporal de búsqueda 2020–2025, cumpliendo de manera estricta con el criterio de inclusión IN1 y las directrices PRISMA-S.</w:t>
      </w:r>
    </w:p>
    <w:p>
      <w:pPr>
        <w:keepNext/>
        <w:spacing w:before="140" w:after="40"/>
        <w:jc w:val="left"/>
      </w:pPr>
      <w:r>
        <w:rPr>
          <w:b/>
          <w:i/>
          <w:sz w:val="18"/>
        </w:rPr>
        <w:t>A. Registro Maestro de Consultas por Base de Datos</w:t>
      </w:r>
    </w:p>
    <w:p>
      <w:pPr>
        <w:spacing w:line="240" w:lineRule="auto" w:before="0" w:after="60"/>
        <w:jc w:val="both"/>
      </w:pPr>
      <w:r>
        <w:rPr>
          <w:i w:val="0"/>
          <w:sz w:val="18"/>
        </w:rPr>
        <w:t>Las búsquedas definitivas se ejecutaron en Scopus y Web of Science Core Collection en fecha de corte uniforme. Ambas ecuaciones se ejecutaron aplicando filtros nativos: ventana temporal 2020–2025, idioma (inglés/español) y tipo documental estrictamente limitado a artículos de revista científica (Journal Articles), excluyendo ponencias de congresos y capítulos de libros (ver Tabla IV).</w:t>
      </w:r>
    </w:p>
    <w:p>
      <w:pPr>
        <w:keepNext/>
        <w:spacing w:before="120" w:after="20"/>
        <w:jc w:val="center"/>
      </w:pPr>
      <w:r>
        <w:rPr>
          <w:b/>
          <w:sz w:val="15"/>
        </w:rPr>
        <w:t>TABLA IV</w:t>
        <w:br/>
      </w:r>
      <w:r>
        <w:rPr>
          <w:sz w:val="15"/>
        </w:rPr>
        <w:t>REGISTRO MAESTRO DE BÚSQUEDA Y EXPORTACIÓN POR BASE INDEXADA</w:t>
      </w:r>
    </w:p>
    <w:tbl>
      <w:tblPr>
        <w:tblW w:type="auto" w:w="0"/>
        <w:jc w:val="center"/>
        <w:tblLook w:firstColumn="1" w:firstRow="1" w:lastColumn="0" w:lastRow="0" w:noHBand="0" w:noVBand="1" w:val="04A0"/>
      </w:tblPr>
      <w:tblGrid>
        <w:gridCol w:w="1713"/>
        <w:gridCol w:w="1713"/>
        <w:gridCol w:w="1713"/>
        <w:gridCol w:w="1713"/>
        <w:gridCol w:w="1713"/>
        <w:gridCol w:w="1713"/>
      </w:tblGrid>
      <w:tr>
        <w:trPr>
          <w:cantSplit/>
          <w:tblHeader/>
        </w:trPr>
        <w:tc>
          <w:tcPr>
            <w:tcW w:type="dxa" w:w="1296"/>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4"/>
              </w:rPr>
              <w:t>Base de Datos</w:t>
            </w:r>
          </w:p>
        </w:tc>
        <w:tc>
          <w:tcPr>
            <w:tcW w:type="dxa" w:w="864"/>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4"/>
              </w:rPr>
              <w:t>Campo</w:t>
            </w:r>
          </w:p>
        </w:tc>
        <w:tc>
          <w:tcPr>
            <w:tcW w:type="dxa" w:w="720"/>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4"/>
              </w:rPr>
              <w:t>Sin filtros</w:t>
            </w:r>
          </w:p>
        </w:tc>
        <w:tc>
          <w:tcPr>
            <w:tcW w:type="dxa" w:w="720"/>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4"/>
              </w:rPr>
              <w:t>Con filtros</w:t>
            </w:r>
          </w:p>
        </w:tc>
        <w:tc>
          <w:tcPr>
            <w:tcW w:type="dxa" w:w="720"/>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4"/>
              </w:rPr>
              <w:t>Tipo Doc.</w:t>
            </w:r>
          </w:p>
        </w:tc>
        <w:tc>
          <w:tcPr>
            <w:tcW w:type="dxa" w:w="576"/>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4"/>
              </w:rPr>
              <w:t>Archivo</w:t>
            </w:r>
          </w:p>
        </w:tc>
      </w:tr>
      <w:tr>
        <w:trPr>
          <w:cantSplit/>
        </w:trPr>
        <w:tc>
          <w:tcPr>
            <w:tcW w:type="dxa" w:w="129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Scopus (Elsevier)</w:t>
            </w:r>
          </w:p>
        </w:tc>
        <w:tc>
          <w:tcPr>
            <w:tcW w:type="dxa" w:w="86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TITLE-ABS-KEY</w:t>
            </w:r>
          </w:p>
        </w:tc>
        <w:tc>
          <w:tcPr>
            <w:tcW w:type="dxa" w:w="72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right"/>
            </w:pPr>
            <w:r>
              <w:rPr>
                <w:rFonts w:ascii="Times New Roman" w:hAnsi="Times New Roman"/>
                <w:sz w:val="14"/>
              </w:rPr>
              <w:t>3,270</w:t>
            </w:r>
          </w:p>
        </w:tc>
        <w:tc>
          <w:tcPr>
            <w:tcW w:type="dxa" w:w="72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right"/>
            </w:pPr>
            <w:r>
              <w:rPr>
                <w:rFonts w:ascii="Times New Roman" w:hAnsi="Times New Roman"/>
                <w:sz w:val="14"/>
              </w:rPr>
              <w:t>311</w:t>
            </w:r>
          </w:p>
        </w:tc>
        <w:tc>
          <w:tcPr>
            <w:tcW w:type="dxa" w:w="72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100% Article</w:t>
            </w:r>
          </w:p>
        </w:tc>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scopus_export_it2.csv</w:t>
            </w:r>
          </w:p>
        </w:tc>
      </w:tr>
      <w:tr>
        <w:trPr>
          <w:cantSplit/>
        </w:trPr>
        <w:tc>
          <w:tcPr>
            <w:tcW w:type="dxa" w:w="129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Web of Science (Clarivate)</w:t>
            </w:r>
          </w:p>
        </w:tc>
        <w:tc>
          <w:tcPr>
            <w:tcW w:type="dxa" w:w="86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TS (Topic)</w:t>
            </w:r>
          </w:p>
        </w:tc>
        <w:tc>
          <w:tcPr>
            <w:tcW w:type="dxa" w:w="72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right"/>
            </w:pPr>
            <w:r>
              <w:rPr>
                <w:rFonts w:ascii="Times New Roman" w:hAnsi="Times New Roman"/>
                <w:sz w:val="14"/>
              </w:rPr>
              <w:t>431</w:t>
            </w:r>
          </w:p>
        </w:tc>
        <w:tc>
          <w:tcPr>
            <w:tcW w:type="dxa" w:w="72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right"/>
            </w:pPr>
            <w:r>
              <w:rPr>
                <w:rFonts w:ascii="Times New Roman" w:hAnsi="Times New Roman"/>
                <w:sz w:val="14"/>
              </w:rPr>
              <w:t>266</w:t>
            </w:r>
          </w:p>
        </w:tc>
        <w:tc>
          <w:tcPr>
            <w:tcW w:type="dxa" w:w="72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100% Article</w:t>
            </w:r>
          </w:p>
        </w:tc>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wos_export_it2.xls</w:t>
            </w:r>
          </w:p>
        </w:tc>
      </w:tr>
      <w:tr>
        <w:trPr>
          <w:cantSplit/>
        </w:trPr>
        <w:tc>
          <w:tcPr>
            <w:tcW w:type="dxa" w:w="129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Total Consolidado</w:t>
            </w:r>
          </w:p>
        </w:tc>
        <w:tc>
          <w:tcPr>
            <w:tcW w:type="dxa" w:w="86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Simétrico</w:t>
            </w:r>
          </w:p>
        </w:tc>
        <w:tc>
          <w:tcPr>
            <w:tcW w:type="dxa" w:w="72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right"/>
            </w:pPr>
            <w:r>
              <w:rPr>
                <w:rFonts w:ascii="Times New Roman" w:hAnsi="Times New Roman"/>
                <w:sz w:val="14"/>
              </w:rPr>
              <w:t>3,701</w:t>
            </w:r>
          </w:p>
        </w:tc>
        <w:tc>
          <w:tcPr>
            <w:tcW w:type="dxa" w:w="72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right"/>
            </w:pPr>
            <w:r>
              <w:rPr>
                <w:rFonts w:ascii="Times New Roman" w:hAnsi="Times New Roman"/>
                <w:sz w:val="14"/>
              </w:rPr>
              <w:t>577</w:t>
            </w:r>
          </w:p>
        </w:tc>
        <w:tc>
          <w:tcPr>
            <w:tcW w:type="dxa" w:w="72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100% Article</w:t>
            </w:r>
          </w:p>
        </w:tc>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Archivos en inputs/</w:t>
            </w:r>
          </w:p>
        </w:tc>
      </w:tr>
    </w:tbl>
    <w:p>
      <w:pPr>
        <w:keepNext/>
        <w:spacing w:before="200" w:after="60"/>
        <w:jc w:val="center"/>
      </w:pPr>
      <w:r>
        <w:rPr>
          <w:b/>
          <w:sz w:val="19"/>
        </w:rPr>
        <w:t>V. CRITERIOS DE ELEGIBILIDAD CODIFICADOS</w:t>
      </w:r>
    </w:p>
    <w:p>
      <w:pPr>
        <w:spacing w:line="240" w:lineRule="auto" w:before="0" w:after="60"/>
        <w:jc w:val="both"/>
      </w:pPr>
      <w:r>
        <w:rPr>
          <w:i w:val="0"/>
          <w:sz w:val="18"/>
        </w:rPr>
        <w:t>Para garantizar la auditabilidad y reproducibilidad de cada inclusión y exclusión, se definieron criterios codificados operados en dos niveles: filtros bibliométricos de plataforma y criterios de pertinencia a texto completo (ver Tabla V).</w:t>
      </w:r>
    </w:p>
    <w:p>
      <w:pPr>
        <w:keepNext/>
        <w:spacing w:before="120" w:after="20"/>
        <w:jc w:val="center"/>
      </w:pPr>
      <w:r>
        <w:rPr>
          <w:b/>
          <w:sz w:val="15"/>
        </w:rPr>
        <w:t>TABLA V</w:t>
        <w:br/>
      </w:r>
      <w:r>
        <w:rPr>
          <w:sz w:val="15"/>
        </w:rPr>
        <w:t>CRITERIOS DE INCLUSIÓN Y EXCLUSIÓN CODIFICADOS</w:t>
      </w:r>
    </w:p>
    <w:tbl>
      <w:tblPr>
        <w:tblW w:type="auto" w:w="0"/>
        <w:jc w:val="center"/>
        <w:tblLook w:firstColumn="1" w:firstRow="1" w:lastColumn="0" w:lastRow="0" w:noHBand="0" w:noVBand="1" w:val="04A0"/>
      </w:tblPr>
      <w:tblGrid>
        <w:gridCol w:w="2569"/>
        <w:gridCol w:w="2569"/>
        <w:gridCol w:w="2569"/>
        <w:gridCol w:w="2569"/>
      </w:tblGrid>
      <w:tr>
        <w:trPr>
          <w:cantSplit/>
          <w:tblHeader/>
        </w:trPr>
        <w:tc>
          <w:tcPr>
            <w:tcW w:type="dxa" w:w="576"/>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4"/>
              </w:rPr>
              <w:t>Cód.</w:t>
            </w:r>
          </w:p>
        </w:tc>
        <w:tc>
          <w:tcPr>
            <w:tcW w:type="dxa" w:w="720"/>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4"/>
              </w:rPr>
              <w:t>Tipo</w:t>
            </w:r>
          </w:p>
        </w:tc>
        <w:tc>
          <w:tcPr>
            <w:tcW w:type="dxa" w:w="2304"/>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4"/>
              </w:rPr>
              <w:t>Criterio Metodológico de Elegibilidad</w:t>
            </w:r>
          </w:p>
        </w:tc>
        <w:tc>
          <w:tcPr>
            <w:tcW w:type="dxa" w:w="1296"/>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4"/>
              </w:rPr>
              <w:t>Mecanismo de Verificación</w:t>
            </w:r>
          </w:p>
        </w:tc>
      </w:tr>
      <w:tr>
        <w:trPr>
          <w:cantSplit/>
        </w:trPr>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IN1</w:t>
            </w:r>
          </w:p>
        </w:tc>
        <w:tc>
          <w:tcPr>
            <w:tcW w:type="dxa" w:w="72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Inclusión</w:t>
            </w:r>
          </w:p>
        </w:tc>
        <w:tc>
          <w:tcPr>
            <w:tcW w:type="dxa" w:w="230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Ventana temporal de publicación comprendida entre 2020 y 2025.</w:t>
            </w:r>
          </w:p>
        </w:tc>
        <w:tc>
          <w:tcPr>
            <w:tcW w:type="dxa" w:w="129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Filtros nativos de Scopus y WoS.</w:t>
            </w:r>
          </w:p>
        </w:tc>
      </w:tr>
      <w:tr>
        <w:trPr>
          <w:cantSplit/>
        </w:trPr>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IN2</w:t>
            </w:r>
          </w:p>
        </w:tc>
        <w:tc>
          <w:tcPr>
            <w:tcW w:type="dxa" w:w="72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Inclusión</w:t>
            </w:r>
          </w:p>
        </w:tc>
        <w:tc>
          <w:tcPr>
            <w:tcW w:type="dxa" w:w="230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Artículos de revista científica revisados por pares (journal articles).</w:t>
            </w:r>
          </w:p>
        </w:tc>
        <w:tc>
          <w:tcPr>
            <w:tcW w:type="dxa" w:w="129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Filtro Document Type = Article.</w:t>
            </w:r>
          </w:p>
        </w:tc>
      </w:tr>
      <w:tr>
        <w:trPr>
          <w:cantSplit/>
        </w:trPr>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IN3</w:t>
            </w:r>
          </w:p>
        </w:tc>
        <w:tc>
          <w:tcPr>
            <w:tcW w:type="dxa" w:w="72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Inclusión</w:t>
            </w:r>
          </w:p>
        </w:tc>
        <w:tc>
          <w:tcPr>
            <w:tcW w:type="dxa" w:w="230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Indexación en Scopus Core o Web of Science Core Collection.</w:t>
            </w:r>
          </w:p>
        </w:tc>
        <w:tc>
          <w:tcPr>
            <w:tcW w:type="dxa" w:w="129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Bases suscritas institucionalmente.</w:t>
            </w:r>
          </w:p>
        </w:tc>
      </w:tr>
      <w:tr>
        <w:trPr>
          <w:cantSplit/>
        </w:trPr>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IN4</w:t>
            </w:r>
          </w:p>
        </w:tc>
        <w:tc>
          <w:tcPr>
            <w:tcW w:type="dxa" w:w="72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Inclusión</w:t>
            </w:r>
          </w:p>
        </w:tc>
        <w:tc>
          <w:tcPr>
            <w:tcW w:type="dxa" w:w="230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Modelos de IA/IDP aplicados a documentos empresariales y semiestructurados.</w:t>
            </w:r>
          </w:p>
        </w:tc>
        <w:tc>
          <w:tcPr>
            <w:tcW w:type="dxa" w:w="129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Cribado de abstract y lectura completa.</w:t>
            </w:r>
          </w:p>
        </w:tc>
      </w:tr>
      <w:tr>
        <w:trPr>
          <w:cantSplit/>
        </w:trPr>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EX1</w:t>
            </w:r>
          </w:p>
        </w:tc>
        <w:tc>
          <w:tcPr>
            <w:tcW w:type="dxa" w:w="72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Exclusión</w:t>
            </w:r>
          </w:p>
        </w:tc>
        <w:tc>
          <w:tcPr>
            <w:tcW w:type="dxa" w:w="230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Publicaciones en idiomas distintos al inglés o español.</w:t>
            </w:r>
          </w:p>
        </w:tc>
        <w:tc>
          <w:tcPr>
            <w:tcW w:type="dxa" w:w="129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Filtros lingüísticos nativos.</w:t>
            </w:r>
          </w:p>
        </w:tc>
      </w:tr>
      <w:tr>
        <w:trPr>
          <w:cantSplit/>
        </w:trPr>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EX2</w:t>
            </w:r>
          </w:p>
        </w:tc>
        <w:tc>
          <w:tcPr>
            <w:tcW w:type="dxa" w:w="72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Exclusión</w:t>
            </w:r>
          </w:p>
        </w:tc>
        <w:tc>
          <w:tcPr>
            <w:tcW w:type="dxa" w:w="230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Documentos no accesibles a texto completo a través de suscripciones institucionales.</w:t>
            </w:r>
          </w:p>
        </w:tc>
        <w:tc>
          <w:tcPr>
            <w:tcW w:type="dxa" w:w="129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Verificación en Fase 3 (n = 5).</w:t>
            </w:r>
          </w:p>
        </w:tc>
      </w:tr>
      <w:tr>
        <w:trPr>
          <w:cantSplit/>
        </w:trPr>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EX3</w:t>
            </w:r>
          </w:p>
        </w:tc>
        <w:tc>
          <w:tcPr>
            <w:tcW w:type="dxa" w:w="72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Exclusión</w:t>
            </w:r>
          </w:p>
        </w:tc>
        <w:tc>
          <w:tcPr>
            <w:tcW w:type="dxa" w:w="230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Revisiones secundarias (surveys/SLRs) o notas editoriales sin experimentación primaria.</w:t>
            </w:r>
          </w:p>
        </w:tc>
        <w:tc>
          <w:tcPr>
            <w:tcW w:type="dxa" w:w="129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Exclusión en Fase 3 (n = 8).</w:t>
            </w:r>
          </w:p>
        </w:tc>
      </w:tr>
      <w:tr>
        <w:trPr>
          <w:cantSplit/>
        </w:trPr>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EX4</w:t>
            </w:r>
          </w:p>
        </w:tc>
        <w:tc>
          <w:tcPr>
            <w:tcW w:type="dxa" w:w="72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Exclusión</w:t>
            </w:r>
          </w:p>
        </w:tc>
        <w:tc>
          <w:tcPr>
            <w:tcW w:type="dxa" w:w="230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Ámbitos ajenos: registros clínicos/médicos, manuscritos antiguos, semiconductores.</w:t>
            </w:r>
          </w:p>
        </w:tc>
        <w:tc>
          <w:tcPr>
            <w:tcW w:type="dxa" w:w="129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Cribado de título/resumen (n = 35).</w:t>
            </w:r>
          </w:p>
        </w:tc>
      </w:tr>
      <w:tr>
        <w:trPr>
          <w:cantSplit/>
        </w:trPr>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EX-n</w:t>
            </w:r>
          </w:p>
        </w:tc>
        <w:tc>
          <w:tcPr>
            <w:tcW w:type="dxa" w:w="72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Exclusión</w:t>
            </w:r>
          </w:p>
        </w:tc>
        <w:tc>
          <w:tcPr>
            <w:tcW w:type="dxa" w:w="230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Estudios sin métricas empíricas formales o de OCR genérico sin enfoque empresarial.</w:t>
            </w:r>
          </w:p>
        </w:tc>
        <w:tc>
          <w:tcPr>
            <w:tcW w:type="dxa" w:w="129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Cribado (n = 6) y elegibilidad (n = 153).</w:t>
            </w:r>
          </w:p>
        </w:tc>
      </w:tr>
    </w:tbl>
    <w:p>
      <w:pPr>
        <w:keepNext/>
        <w:spacing w:before="200" w:after="60"/>
        <w:jc w:val="center"/>
      </w:pPr>
      <w:r>
        <w:rPr>
          <w:b/>
          <w:sz w:val="19"/>
        </w:rPr>
        <w:t>VI. FLUJO PRISMA 2020 Y CALIDAD (QA)</w:t>
      </w:r>
    </w:p>
    <w:p>
      <w:pPr>
        <w:spacing w:line="240" w:lineRule="auto" w:before="0" w:after="60"/>
        <w:jc w:val="both"/>
      </w:pPr>
      <w:r>
        <w:rPr>
          <w:i w:val="0"/>
          <w:sz w:val="18"/>
        </w:rPr>
        <w:t>El flujo PRISMA 2020 se ejecutó de forma determinista mediante scripts en Python. La trazabilidad aritmética del embudo de reducción bibliográfica se resume a continuación:</w:t>
      </w:r>
    </w:p>
    <w:p>
      <w:pPr>
        <w:spacing w:line="240" w:lineRule="auto" w:before="0" w:after="60"/>
        <w:jc w:val="both"/>
      </w:pPr>
      <w:r>
        <w:rPr>
          <w:b/>
          <w:sz w:val="18"/>
        </w:rPr>
        <w:t xml:space="preserve">Protocolo en Doble Ciego y Resolución de Discrepancias: </w:t>
      </w:r>
      <w:r>
        <w:rPr>
          <w:i w:val="0"/>
          <w:sz w:val="18"/>
        </w:rPr>
        <w:t>La evaluación de registros se ejecutó mediante un protocolo independiente en doble ciego entre los dos investigadores principales (R1 y R2). En la fase de cribado por título y resumen se obtuvo un coeficiente de concordancia sustancial casi perfecto (κ = 0.88). En la fase de elegibilidad a texto completo se alcanzó una concordancia de κ = 0.92. Las discrepancias iniciales entre revisores (registradas en menos del 6% de los estudios evaluados) se resolvieron mediante sesiones estructuradas de consenso razonado basadas en la verificación directa de los criterios de inclusión/exclusión; en los casos que suscitaron duda metodológica residual, se aplicó la dirimencia vinculante del docente asesor experto (Mg. Jimmy Sánchez Portugal), garantizando total objetividad y reproducibilidad.</w:t>
      </w:r>
    </w:p>
    <w:p>
      <w:pPr>
        <w:spacing w:line="240" w:lineRule="auto" w:before="0" w:after="60"/>
        <w:jc w:val="both"/>
      </w:pPr>
      <w:r>
        <w:rPr>
          <w:i w:val="0"/>
          <w:sz w:val="18"/>
        </w:rPr>
        <w:t>1) Fase 1 (Identificación): Se recuperaron 577 artículos de revista (311 en Scopus y 266 en WoS). El algoritmo de deduplicación por coincidencia exacta de DOI normalizado y título alfanumérico eliminó 239 duplicados (238 inter-bases y 1 duplicidad interna en WoS), ingresando 338 registros únicos a la fase de cribado.</w:t>
      </w:r>
    </w:p>
    <w:p>
      <w:pPr>
        <w:spacing w:line="240" w:lineRule="auto" w:before="0" w:after="60"/>
        <w:jc w:val="both"/>
      </w:pPr>
      <w:r>
        <w:rPr>
          <w:i w:val="0"/>
          <w:sz w:val="18"/>
        </w:rPr>
        <w:t>2) Fase 2 (Cribado): Dos revisores independientes evaluaron títulos y resúmenes en doble ciego, alcanzando un coeficiente Kappa de Cohen κ = 0.88. Se excluyeron 41 estudios por contaminación temática (35 por ámbito clínico/histórico EX4 y 6 sin vínculo a las preguntas EX-n), pasando 297 manuscritos a evaluación a texto completo.</w:t>
      </w:r>
    </w:p>
    <w:p>
      <w:pPr>
        <w:spacing w:line="240" w:lineRule="auto" w:before="0" w:after="60"/>
        <w:jc w:val="both"/>
      </w:pPr>
      <w:r>
        <w:rPr>
          <w:i w:val="0"/>
          <w:sz w:val="18"/>
        </w:rPr>
        <w:t>3) Fase 3 (Elegibilidad): Se evaluaron los 297 textos completos bajo los criterios de inclusión/exclusión y el instrumento de calidad QA (Kitchenham), con acuerdo inter-evaluador κ = 0.92. Se excluyeron 166 manuscritos: 20 estudios documentados individualmente bajo el estándar AMSTAR 2 (ítem 7) y 146 estudios de OCR genérico sin experimentación en flujos de documentos empresariales (no cumplen IN4).</w:t>
      </w:r>
    </w:p>
    <w:p>
      <w:pPr>
        <w:spacing w:line="240" w:lineRule="auto" w:before="0" w:after="60"/>
        <w:jc w:val="both"/>
      </w:pPr>
      <w:r>
        <w:rPr>
          <w:i w:val="0"/>
          <w:sz w:val="18"/>
        </w:rPr>
        <w:t>4) Fase 4 (Inclusión): El corpus final primario consolidado comprende exactamente N = 131 artículos de revista científica, sin cuotas preestablecidas ni truncamientos artificiales (ver Tabla VI).</w:t>
      </w:r>
    </w:p>
    <w:p>
      <w:pPr>
        <w:keepNext/>
        <w:spacing w:before="120" w:after="20"/>
        <w:jc w:val="center"/>
      </w:pPr>
      <w:r>
        <w:rPr>
          <w:b/>
          <w:sz w:val="15"/>
        </w:rPr>
        <w:t>TABLA VI</w:t>
        <w:br/>
      </w:r>
      <w:r>
        <w:rPr>
          <w:sz w:val="15"/>
        </w:rPr>
        <w:t>TRANSICIÓN CUANTITATIVA DEL FLUJO PRISMA 2020</w:t>
      </w:r>
    </w:p>
    <w:tbl>
      <w:tblPr>
        <w:tblW w:type="auto" w:w="0"/>
        <w:jc w:val="center"/>
        <w:tblLook w:firstColumn="1" w:firstRow="1" w:lastColumn="0" w:lastRow="0" w:noHBand="0" w:noVBand="1" w:val="04A0"/>
      </w:tblPr>
      <w:tblGrid>
        <w:gridCol w:w="2056"/>
        <w:gridCol w:w="2056"/>
        <w:gridCol w:w="2056"/>
        <w:gridCol w:w="2056"/>
        <w:gridCol w:w="2056"/>
      </w:tblGrid>
      <w:tr>
        <w:trPr>
          <w:cantSplit/>
          <w:tblHeader/>
        </w:trPr>
        <w:tc>
          <w:tcPr>
            <w:tcW w:type="dxa" w:w="1152"/>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4"/>
              </w:rPr>
              <w:t>Fase PRISMA</w:t>
            </w:r>
          </w:p>
        </w:tc>
        <w:tc>
          <w:tcPr>
            <w:tcW w:type="dxa" w:w="864"/>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4"/>
              </w:rPr>
              <w:t>Entrada</w:t>
            </w:r>
          </w:p>
        </w:tc>
        <w:tc>
          <w:tcPr>
            <w:tcW w:type="dxa" w:w="1584"/>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4"/>
              </w:rPr>
              <w:t>Operación Metodológica</w:t>
            </w:r>
          </w:p>
        </w:tc>
        <w:tc>
          <w:tcPr>
            <w:tcW w:type="dxa" w:w="720"/>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4"/>
              </w:rPr>
              <w:t>Excluidos</w:t>
            </w:r>
          </w:p>
        </w:tc>
        <w:tc>
          <w:tcPr>
            <w:tcW w:type="dxa" w:w="576"/>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4"/>
              </w:rPr>
              <w:t>Salida</w:t>
            </w:r>
          </w:p>
        </w:tc>
      </w:tr>
      <w:tr>
        <w:trPr>
          <w:cantSplit/>
        </w:trPr>
        <w:tc>
          <w:tcPr>
            <w:tcW w:type="dxa" w:w="115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1. Identificación</w:t>
            </w:r>
          </w:p>
        </w:tc>
        <w:tc>
          <w:tcPr>
            <w:tcW w:type="dxa" w:w="86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right"/>
            </w:pPr>
            <w:r>
              <w:rPr>
                <w:rFonts w:ascii="Times New Roman" w:hAnsi="Times New Roman"/>
                <w:sz w:val="14"/>
              </w:rPr>
              <w:t>577 brutos</w:t>
            </w:r>
          </w:p>
        </w:tc>
        <w:tc>
          <w:tcPr>
            <w:tcW w:type="dxa" w:w="158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Cruce por DOI limpio y título normalizado</w:t>
            </w:r>
          </w:p>
        </w:tc>
        <w:tc>
          <w:tcPr>
            <w:tcW w:type="dxa" w:w="72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right"/>
            </w:pPr>
            <w:r>
              <w:rPr>
                <w:rFonts w:ascii="Times New Roman" w:hAnsi="Times New Roman"/>
                <w:sz w:val="14"/>
              </w:rPr>
              <w:t>-239 dupl.</w:t>
            </w:r>
          </w:p>
        </w:tc>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right"/>
            </w:pPr>
            <w:r>
              <w:rPr>
                <w:rFonts w:ascii="Times New Roman" w:hAnsi="Times New Roman"/>
                <w:sz w:val="14"/>
              </w:rPr>
              <w:t>338 únicos</w:t>
            </w:r>
          </w:p>
        </w:tc>
      </w:tr>
      <w:tr>
        <w:trPr>
          <w:cantSplit/>
        </w:trPr>
        <w:tc>
          <w:tcPr>
            <w:tcW w:type="dxa" w:w="115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2. Cribado</w:t>
            </w:r>
          </w:p>
        </w:tc>
        <w:tc>
          <w:tcPr>
            <w:tcW w:type="dxa" w:w="86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right"/>
            </w:pPr>
            <w:r>
              <w:rPr>
                <w:rFonts w:ascii="Times New Roman" w:hAnsi="Times New Roman"/>
                <w:sz w:val="14"/>
              </w:rPr>
              <w:t>338 únicos</w:t>
            </w:r>
          </w:p>
        </w:tc>
        <w:tc>
          <w:tcPr>
            <w:tcW w:type="dxa" w:w="158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Evaluación de título/resumen en doble ciego (κ = 0.88)</w:t>
            </w:r>
          </w:p>
        </w:tc>
        <w:tc>
          <w:tcPr>
            <w:tcW w:type="dxa" w:w="72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right"/>
            </w:pPr>
            <w:r>
              <w:rPr>
                <w:rFonts w:ascii="Times New Roman" w:hAnsi="Times New Roman"/>
                <w:sz w:val="14"/>
              </w:rPr>
              <w:t>-41 temáticos</w:t>
            </w:r>
          </w:p>
        </w:tc>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right"/>
            </w:pPr>
            <w:r>
              <w:rPr>
                <w:rFonts w:ascii="Times New Roman" w:hAnsi="Times New Roman"/>
                <w:sz w:val="14"/>
              </w:rPr>
              <w:t>297 elegibles</w:t>
            </w:r>
          </w:p>
        </w:tc>
      </w:tr>
      <w:tr>
        <w:trPr>
          <w:cantSplit/>
        </w:trPr>
        <w:tc>
          <w:tcPr>
            <w:tcW w:type="dxa" w:w="115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3. Elegibilidad</w:t>
            </w:r>
          </w:p>
        </w:tc>
        <w:tc>
          <w:tcPr>
            <w:tcW w:type="dxa" w:w="86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right"/>
            </w:pPr>
            <w:r>
              <w:rPr>
                <w:rFonts w:ascii="Times New Roman" w:hAnsi="Times New Roman"/>
                <w:sz w:val="14"/>
              </w:rPr>
              <w:t>297 texto compl.</w:t>
            </w:r>
          </w:p>
        </w:tc>
        <w:tc>
          <w:tcPr>
            <w:tcW w:type="dxa" w:w="158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Lectura de texto completo y control QA (κ = 0.92)</w:t>
            </w:r>
          </w:p>
        </w:tc>
        <w:tc>
          <w:tcPr>
            <w:tcW w:type="dxa" w:w="72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right"/>
            </w:pPr>
            <w:r>
              <w:rPr>
                <w:rFonts w:ascii="Times New Roman" w:hAnsi="Times New Roman"/>
                <w:sz w:val="14"/>
              </w:rPr>
              <w:t>-166 estudios</w:t>
            </w:r>
          </w:p>
        </w:tc>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right"/>
            </w:pPr>
            <w:r>
              <w:rPr>
                <w:rFonts w:ascii="Times New Roman" w:hAnsi="Times New Roman"/>
                <w:sz w:val="14"/>
              </w:rPr>
              <w:t>131 incluidos</w:t>
            </w:r>
          </w:p>
        </w:tc>
      </w:tr>
      <w:tr>
        <w:trPr>
          <w:cantSplit/>
        </w:trPr>
        <w:tc>
          <w:tcPr>
            <w:tcW w:type="dxa" w:w="115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4. Inclusión</w:t>
            </w:r>
          </w:p>
        </w:tc>
        <w:tc>
          <w:tcPr>
            <w:tcW w:type="dxa" w:w="86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right"/>
            </w:pPr>
            <w:r>
              <w:rPr>
                <w:rFonts w:ascii="Times New Roman" w:hAnsi="Times New Roman"/>
                <w:sz w:val="14"/>
              </w:rPr>
              <w:t>131 primarios</w:t>
            </w:r>
          </w:p>
        </w:tc>
        <w:tc>
          <w:tcPr>
            <w:tcW w:type="dxa" w:w="158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Mapeo semántico frente a PI1–PI4 y extracción</w:t>
            </w:r>
          </w:p>
        </w:tc>
        <w:tc>
          <w:tcPr>
            <w:tcW w:type="dxa" w:w="72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right"/>
            </w:pPr>
            <w:r>
              <w:rPr>
                <w:rFonts w:ascii="Times New Roman" w:hAnsi="Times New Roman"/>
                <w:sz w:val="14"/>
              </w:rPr>
              <w:t>0</w:t>
            </w:r>
          </w:p>
        </w:tc>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right"/>
            </w:pPr>
            <w:r>
              <w:rPr>
                <w:rFonts w:ascii="Times New Roman" w:hAnsi="Times New Roman"/>
                <w:sz w:val="14"/>
              </w:rPr>
              <w:t>N = 131 final</w:t>
            </w:r>
          </w:p>
        </w:tc>
      </w:tr>
      <w:tr>
        <w:trPr>
          <w:cantSplit/>
        </w:trPr>
        <w:tc>
          <w:tcPr>
            <w:tcW w:type="dxa" w:w="115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Corpus Total</w:t>
            </w:r>
          </w:p>
        </w:tc>
        <w:tc>
          <w:tcPr>
            <w:tcW w:type="dxa" w:w="86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right"/>
            </w:pPr>
            <w:r>
              <w:rPr>
                <w:rFonts w:ascii="Times New Roman" w:hAnsi="Times New Roman"/>
                <w:sz w:val="14"/>
              </w:rPr>
              <w:t>577 brutos</w:t>
            </w:r>
          </w:p>
        </w:tc>
        <w:tc>
          <w:tcPr>
            <w:tcW w:type="dxa" w:w="158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Embudo metodológico auditable y reproducible</w:t>
            </w:r>
          </w:p>
        </w:tc>
        <w:tc>
          <w:tcPr>
            <w:tcW w:type="dxa" w:w="72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right"/>
            </w:pPr>
            <w:r>
              <w:rPr>
                <w:rFonts w:ascii="Times New Roman" w:hAnsi="Times New Roman"/>
                <w:sz w:val="14"/>
              </w:rPr>
              <w:t>-446 excluidos</w:t>
            </w:r>
          </w:p>
        </w:tc>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right"/>
            </w:pPr>
            <w:r>
              <w:rPr>
                <w:rFonts w:ascii="Times New Roman" w:hAnsi="Times New Roman"/>
                <w:sz w:val="14"/>
              </w:rPr>
              <w:t>N = 131 final</w:t>
            </w:r>
          </w:p>
        </w:tc>
      </w:tr>
    </w:tbl>
    <w:p>
      <w:pPr>
        <w:keepNext/>
        <w:spacing w:before="140" w:after="40"/>
        <w:jc w:val="left"/>
      </w:pPr>
      <w:r>
        <w:rPr>
          <w:b/>
          <w:i/>
          <w:sz w:val="18"/>
        </w:rPr>
        <w:t>A. Instrumento de Evaluación de Calidad Metodológica (QA)</w:t>
      </w:r>
    </w:p>
    <w:p>
      <w:pPr>
        <w:spacing w:line="240" w:lineRule="auto" w:before="0" w:after="60"/>
        <w:jc w:val="both"/>
      </w:pPr>
      <w:r>
        <w:rPr>
          <w:i w:val="0"/>
          <w:sz w:val="18"/>
        </w:rPr>
        <w:t>El cuestionario de calidad basado en Kitchenham &amp; Charters (2007) aplicó una escala tricotómica objetiva (1.0 = Sí, 0.5 = Parcial, 0.0 = No) sobre cinco preguntas clave (ver Tabla VII). Se estableció un umbral de corte de QA &gt;= 3.0 / 5.0 para admitir estudios en la síntesis. El corpus de 131 estudios primarios obtuvo un puntaje medio de 4.60 / 5.0 (mínimo = 3.50, máximo = 5.0, nucleares = 5.0 / 5.0):</w:t>
      </w:r>
    </w:p>
    <w:p>
      <w:pPr>
        <w:keepNext/>
        <w:spacing w:before="120" w:after="20"/>
        <w:jc w:val="center"/>
      </w:pPr>
      <w:r>
        <w:rPr>
          <w:b/>
          <w:sz w:val="15"/>
        </w:rPr>
        <w:t>TABLA VII</w:t>
        <w:br/>
      </w:r>
      <w:r>
        <w:rPr>
          <w:sz w:val="15"/>
        </w:rPr>
        <w:t>PREGUNTAS DEL INSTRUMENTO DE CALIDAD METODOLÓGICA (QA)</w:t>
      </w:r>
    </w:p>
    <w:tbl>
      <w:tblPr>
        <w:tblW w:type="auto" w:w="0"/>
        <w:jc w:val="center"/>
        <w:tblLook w:firstColumn="1" w:firstRow="1" w:lastColumn="0" w:lastRow="0" w:noHBand="0" w:noVBand="1" w:val="04A0"/>
      </w:tblPr>
      <w:tblGrid>
        <w:gridCol w:w="3426"/>
        <w:gridCol w:w="3426"/>
        <w:gridCol w:w="3426"/>
      </w:tblGrid>
      <w:tr>
        <w:trPr>
          <w:cantSplit/>
          <w:tblHeader/>
        </w:trPr>
        <w:tc>
          <w:tcPr>
            <w:tcW w:type="dxa" w:w="576"/>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4"/>
              </w:rPr>
              <w:t>Cód.</w:t>
            </w:r>
          </w:p>
        </w:tc>
        <w:tc>
          <w:tcPr>
            <w:tcW w:type="dxa" w:w="2592"/>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4"/>
              </w:rPr>
              <w:t>Pregunta de Control de Calidad Metodológica</w:t>
            </w:r>
          </w:p>
        </w:tc>
        <w:tc>
          <w:tcPr>
            <w:tcW w:type="dxa" w:w="1728"/>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4"/>
              </w:rPr>
              <w:t>Criterio de Calificación (1.0 / 0.5 / 0.0)</w:t>
            </w:r>
          </w:p>
        </w:tc>
      </w:tr>
      <w:tr>
        <w:trPr>
          <w:cantSplit/>
        </w:trPr>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QA1</w:t>
            </w:r>
          </w:p>
        </w:tc>
        <w:tc>
          <w:tcPr>
            <w:tcW w:type="dxa" w:w="259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¿El estudio define claramente los objetivos y el problema documental?</w:t>
            </w:r>
          </w:p>
        </w:tc>
        <w:tc>
          <w:tcPr>
            <w:tcW w:type="dxa" w:w="172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1.0: Objetivos explícitos; 0.5: Genéricos; 0.0: No definidos.</w:t>
            </w:r>
          </w:p>
        </w:tc>
      </w:tr>
      <w:tr>
        <w:trPr>
          <w:cantSplit/>
        </w:trPr>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QA2</w:t>
            </w:r>
          </w:p>
        </w:tc>
        <w:tc>
          <w:tcPr>
            <w:tcW w:type="dxa" w:w="259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¿Se describe con detalle el dataset y la tipología de documentos?</w:t>
            </w:r>
          </w:p>
        </w:tc>
        <w:tc>
          <w:tcPr>
            <w:tcW w:type="dxa" w:w="172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1.0: Dataset y volumen explícitos; 0.5: Parcial; 0.0: No describe.</w:t>
            </w:r>
          </w:p>
        </w:tc>
      </w:tr>
      <w:tr>
        <w:trPr>
          <w:cantSplit/>
        </w:trPr>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QA3</w:t>
            </w:r>
          </w:p>
        </w:tc>
        <w:tc>
          <w:tcPr>
            <w:tcW w:type="dxa" w:w="259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¿Se detalla la arquitectura algorítmica de IA o el pipeline de IDP?</w:t>
            </w:r>
          </w:p>
        </w:tc>
        <w:tc>
          <w:tcPr>
            <w:tcW w:type="dxa" w:w="172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1.0: Arquitectura completa; 0.5: Superficial; 0.0: Caja negra.</w:t>
            </w:r>
          </w:p>
        </w:tc>
      </w:tr>
      <w:tr>
        <w:trPr>
          <w:cantSplit/>
        </w:trPr>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QA4</w:t>
            </w:r>
          </w:p>
        </w:tc>
        <w:tc>
          <w:tcPr>
            <w:tcW w:type="dxa" w:w="259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¿Se reportan métricas cuantitativas formales (F1, exactitud, latencia)?</w:t>
            </w:r>
          </w:p>
        </w:tc>
        <w:tc>
          <w:tcPr>
            <w:tcW w:type="dxa" w:w="172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1.0: Métricas numéricas estándar; 0.5: Parcial; 0.0: Sin métricas.</w:t>
            </w:r>
          </w:p>
        </w:tc>
      </w:tr>
      <w:tr>
        <w:trPr>
          <w:cantSplit/>
        </w:trPr>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QA5</w:t>
            </w:r>
          </w:p>
        </w:tc>
        <w:tc>
          <w:tcPr>
            <w:tcW w:type="dxa" w:w="259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¿Los resultados se contrastan frente a baselines o métodos tradicionales?</w:t>
            </w:r>
          </w:p>
        </w:tc>
        <w:tc>
          <w:tcPr>
            <w:tcW w:type="dxa" w:w="172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4"/>
              </w:rPr>
              <w:t>1.0: Comparación cuantitativa directa; 0.5: Narrativa; 0.0: Sin contraste.</w:t>
            </w:r>
          </w:p>
        </w:tc>
      </w:tr>
    </w:tbl>
    <w:p>
      <w:pPr>
        <w:keepNext/>
        <w:spacing w:before="200" w:after="60"/>
        <w:jc w:val="center"/>
      </w:pPr>
      <w:r>
        <w:rPr>
          <w:b/>
          <w:sz w:val="19"/>
        </w:rPr>
        <w:t>VII. ESTUDIOS EXCLUIDOS (AMSTAR 2 ÍTEM 7)</w:t>
      </w:r>
    </w:p>
    <w:p>
      <w:pPr>
        <w:spacing w:line="240" w:lineRule="auto" w:before="0" w:after="60"/>
        <w:jc w:val="both"/>
      </w:pPr>
      <w:r>
        <w:rPr>
          <w:i w:val="0"/>
          <w:sz w:val="18"/>
        </w:rPr>
        <w:t>En estricto cumplimiento del ítem 7 de AMSTAR 2 y del ítem 16b de PRISMA 2020, la Tabla VIII lista individualmente los 20 estudios excluidos durante la lectura a texto completo que a priori parecían elegibles, detallando la referencia completa y la causal justificada de exclusión sin truncamientos:</w:t>
      </w:r>
    </w:p>
    <w:p>
      <w:pPr>
        <w:keepNext/>
        <w:spacing w:before="120" w:after="20"/>
        <w:jc w:val="center"/>
      </w:pPr>
      <w:r>
        <w:rPr>
          <w:b/>
          <w:sz w:val="15"/>
        </w:rPr>
        <w:t>TABLA VIII</w:t>
        <w:br/>
      </w:r>
      <w:r>
        <w:rPr>
          <w:sz w:val="15"/>
        </w:rPr>
        <w:t>LISTADO DE ESTUDIOS EXCLUIDOS A TEXTO COMPLETO (AMSTAR 2 ÍTEM 7)</w:t>
      </w:r>
    </w:p>
    <w:tbl>
      <w:tblPr>
        <w:tblW w:type="auto" w:w="0"/>
        <w:jc w:val="center"/>
        <w:tblLook w:firstColumn="1" w:firstRow="1" w:lastColumn="0" w:lastRow="0" w:noHBand="0" w:noVBand="1" w:val="04A0"/>
      </w:tblPr>
      <w:tblGrid>
        <w:gridCol w:w="2569"/>
        <w:gridCol w:w="2569"/>
        <w:gridCol w:w="2569"/>
        <w:gridCol w:w="2569"/>
      </w:tblGrid>
      <w:tr>
        <w:trPr>
          <w:cantSplit/>
          <w:tblHeader/>
        </w:trPr>
        <w:tc>
          <w:tcPr>
            <w:tcW w:type="dxa" w:w="1728"/>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3"/>
              </w:rPr>
              <w:t>Referencia Bibliográfica Completa</w:t>
            </w:r>
          </w:p>
        </w:tc>
        <w:tc>
          <w:tcPr>
            <w:tcW w:type="dxa" w:w="576"/>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3"/>
              </w:rPr>
              <w:t>Base</w:t>
            </w:r>
          </w:p>
        </w:tc>
        <w:tc>
          <w:tcPr>
            <w:tcW w:type="dxa" w:w="432"/>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3"/>
              </w:rPr>
              <w:t>Cód.</w:t>
            </w:r>
          </w:p>
        </w:tc>
        <w:tc>
          <w:tcPr>
            <w:tcW w:type="dxa" w:w="2160"/>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3"/>
              </w:rPr>
              <w:t>Causal Específica de Exclusión</w:t>
            </w:r>
          </w:p>
        </w:tc>
      </w:tr>
      <w:tr>
        <w:trPr>
          <w:cantSplit/>
        </w:trPr>
        <w:tc>
          <w:tcPr>
            <w:tcW w:type="dxa" w:w="172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Villa-García P.A.; Alonso-Calvo R.; García-Díaz V. (2024)</w:t>
            </w:r>
          </w:p>
        </w:tc>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Scopus</w:t>
            </w:r>
          </w:p>
        </w:tc>
        <w:tc>
          <w:tcPr>
            <w:tcW w:type="dxa" w:w="43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EX3</w:t>
            </w:r>
          </w:p>
        </w:tc>
        <w:tc>
          <w:tcPr>
            <w:tcW w:type="dxa" w:w="216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Revisión secundaria de literatura / Survey teórico sin evaluación empírica original sobre documentos empresariales.</w:t>
            </w:r>
          </w:p>
        </w:tc>
      </w:tr>
      <w:tr>
        <w:trPr>
          <w:cantSplit/>
        </w:trPr>
        <w:tc>
          <w:tcPr>
            <w:tcW w:type="dxa" w:w="172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Nguyen T.T.; Le H.; Nguyen T.; Vo N.D.; Nguyen V. (2023)</w:t>
            </w:r>
          </w:p>
        </w:tc>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Scopus</w:t>
            </w:r>
          </w:p>
        </w:tc>
        <w:tc>
          <w:tcPr>
            <w:tcW w:type="dxa" w:w="43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EX3</w:t>
            </w:r>
          </w:p>
        </w:tc>
        <w:tc>
          <w:tcPr>
            <w:tcW w:type="dxa" w:w="216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Revisión secundaria de literatura / Survey teórico sin evaluación empírica original sobre documentos empresariales.</w:t>
            </w:r>
          </w:p>
        </w:tc>
      </w:tr>
      <w:tr>
        <w:trPr>
          <w:cantSplit/>
        </w:trPr>
        <w:tc>
          <w:tcPr>
            <w:tcW w:type="dxa" w:w="172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Saout T.; Lardeux F.; Saubion F. (2024)</w:t>
            </w:r>
          </w:p>
        </w:tc>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Scopus</w:t>
            </w:r>
          </w:p>
        </w:tc>
        <w:tc>
          <w:tcPr>
            <w:tcW w:type="dxa" w:w="43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EX3</w:t>
            </w:r>
          </w:p>
        </w:tc>
        <w:tc>
          <w:tcPr>
            <w:tcW w:type="dxa" w:w="216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Revisión secundaria de literatura / Survey teórico sin evaluación empírica original sobre documentos empresariales.</w:t>
            </w:r>
          </w:p>
        </w:tc>
      </w:tr>
      <w:tr>
        <w:trPr>
          <w:cantSplit/>
        </w:trPr>
        <w:tc>
          <w:tcPr>
            <w:tcW w:type="dxa" w:w="172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Michalak H.; Okarma K. (2020)</w:t>
            </w:r>
          </w:p>
        </w:tc>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Scopus</w:t>
            </w:r>
          </w:p>
        </w:tc>
        <w:tc>
          <w:tcPr>
            <w:tcW w:type="dxa" w:w="43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EX3</w:t>
            </w:r>
          </w:p>
        </w:tc>
        <w:tc>
          <w:tcPr>
            <w:tcW w:type="dxa" w:w="216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Revisión secundaria de literatura / Survey teórico sin evaluación empírica original sobre documentos empresariales.</w:t>
            </w:r>
          </w:p>
        </w:tc>
      </w:tr>
      <w:tr>
        <w:trPr>
          <w:cantSplit/>
        </w:trPr>
        <w:tc>
          <w:tcPr>
            <w:tcW w:type="dxa" w:w="172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Zucker A.; Belkada Y.; Vu H.; Nguyen V.N. (2021)</w:t>
            </w:r>
          </w:p>
        </w:tc>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Scopus</w:t>
            </w:r>
          </w:p>
        </w:tc>
        <w:tc>
          <w:tcPr>
            <w:tcW w:type="dxa" w:w="43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EX3</w:t>
            </w:r>
          </w:p>
        </w:tc>
        <w:tc>
          <w:tcPr>
            <w:tcW w:type="dxa" w:w="216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Revisión secundaria de literatura / Survey teórico sin evaluación empírica original sobre documentos empresariales.</w:t>
            </w:r>
          </w:p>
        </w:tc>
      </w:tr>
      <w:tr>
        <w:trPr>
          <w:cantSplit/>
        </w:trPr>
        <w:tc>
          <w:tcPr>
            <w:tcW w:type="dxa" w:w="172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Rewoo P.; Jaiswal A.K.; Mahajan D.; Naidu K. (2024)</w:t>
            </w:r>
          </w:p>
        </w:tc>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Scopus</w:t>
            </w:r>
          </w:p>
        </w:tc>
        <w:tc>
          <w:tcPr>
            <w:tcW w:type="dxa" w:w="43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EX3</w:t>
            </w:r>
          </w:p>
        </w:tc>
        <w:tc>
          <w:tcPr>
            <w:tcW w:type="dxa" w:w="216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Revisión secundaria de literatura / Survey teórico sin evaluación empírica original sobre documentos empresariales.</w:t>
            </w:r>
          </w:p>
        </w:tc>
      </w:tr>
      <w:tr>
        <w:trPr>
          <w:cantSplit/>
        </w:trPr>
        <w:tc>
          <w:tcPr>
            <w:tcW w:type="dxa" w:w="172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Holeček M. (2021)</w:t>
            </w:r>
          </w:p>
        </w:tc>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Scopus</w:t>
            </w:r>
          </w:p>
        </w:tc>
        <w:tc>
          <w:tcPr>
            <w:tcW w:type="dxa" w:w="43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EX3</w:t>
            </w:r>
          </w:p>
        </w:tc>
        <w:tc>
          <w:tcPr>
            <w:tcW w:type="dxa" w:w="216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Revisión secundaria de literatura / Survey teórico sin evaluación empírica original sobre documentos empresariales.</w:t>
            </w:r>
          </w:p>
        </w:tc>
      </w:tr>
      <w:tr>
        <w:trPr>
          <w:cantSplit/>
        </w:trPr>
        <w:tc>
          <w:tcPr>
            <w:tcW w:type="dxa" w:w="172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Vykhodtseva V.A.; Popova G.V. (2024)</w:t>
            </w:r>
          </w:p>
        </w:tc>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Scopus</w:t>
            </w:r>
          </w:p>
        </w:tc>
        <w:tc>
          <w:tcPr>
            <w:tcW w:type="dxa" w:w="43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EX3</w:t>
            </w:r>
          </w:p>
        </w:tc>
        <w:tc>
          <w:tcPr>
            <w:tcW w:type="dxa" w:w="216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Revisión secundaria de literatura / Survey teórico sin evaluación empírica original sobre documentos empresariales.</w:t>
            </w:r>
          </w:p>
        </w:tc>
      </w:tr>
      <w:tr>
        <w:trPr>
          <w:cantSplit/>
        </w:trPr>
        <w:tc>
          <w:tcPr>
            <w:tcW w:type="dxa" w:w="172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Varthis E.; Poulos M. (2025)</w:t>
            </w:r>
          </w:p>
        </w:tc>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Scopus</w:t>
            </w:r>
          </w:p>
        </w:tc>
        <w:tc>
          <w:tcPr>
            <w:tcW w:type="dxa" w:w="43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EX-n</w:t>
            </w:r>
          </w:p>
        </w:tc>
        <w:tc>
          <w:tcPr>
            <w:tcW w:type="dxa" w:w="216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Propuesta conceptual sin reporte de métricas empíricas cuantitativas reproducibles (F1-score exactitud o latencia).</w:t>
            </w:r>
          </w:p>
        </w:tc>
      </w:tr>
      <w:tr>
        <w:trPr>
          <w:cantSplit/>
        </w:trPr>
        <w:tc>
          <w:tcPr>
            <w:tcW w:type="dxa" w:w="172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Francis S.A.; Sangeetha M. (2025)</w:t>
            </w:r>
          </w:p>
        </w:tc>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Scopus</w:t>
            </w:r>
          </w:p>
        </w:tc>
        <w:tc>
          <w:tcPr>
            <w:tcW w:type="dxa" w:w="43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EX-n</w:t>
            </w:r>
          </w:p>
        </w:tc>
        <w:tc>
          <w:tcPr>
            <w:tcW w:type="dxa" w:w="216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Propuesta conceptual sin reporte de métricas empíricas cuantitativas reproducibles (F1-score exactitud o latencia).</w:t>
            </w:r>
          </w:p>
        </w:tc>
      </w:tr>
      <w:tr>
        <w:trPr>
          <w:cantSplit/>
        </w:trPr>
        <w:tc>
          <w:tcPr>
            <w:tcW w:type="dxa" w:w="172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Li X.-H.; Yin F.; Dai H.-S.; Liu C.-L. (2022)</w:t>
            </w:r>
          </w:p>
        </w:tc>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Scopus</w:t>
            </w:r>
          </w:p>
        </w:tc>
        <w:tc>
          <w:tcPr>
            <w:tcW w:type="dxa" w:w="43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EX-n</w:t>
            </w:r>
          </w:p>
        </w:tc>
        <w:tc>
          <w:tcPr>
            <w:tcW w:type="dxa" w:w="216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Propuesta conceptual sin reporte de métricas empíricas cuantitativas reproducibles (F1-score exactitud o latencia).</w:t>
            </w:r>
          </w:p>
        </w:tc>
      </w:tr>
      <w:tr>
        <w:trPr>
          <w:cantSplit/>
        </w:trPr>
        <w:tc>
          <w:tcPr>
            <w:tcW w:type="dxa" w:w="172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Yang F.; Hu L.; Liu X.; Huang S.; Gu Z. (2023)</w:t>
            </w:r>
          </w:p>
        </w:tc>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Scopus</w:t>
            </w:r>
          </w:p>
        </w:tc>
        <w:tc>
          <w:tcPr>
            <w:tcW w:type="dxa" w:w="43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EX-n</w:t>
            </w:r>
          </w:p>
        </w:tc>
        <w:tc>
          <w:tcPr>
            <w:tcW w:type="dxa" w:w="216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Propuesta conceptual sin reporte de métricas empíricas cuantitativas reproducibles (F1-score exactitud o latencia).</w:t>
            </w:r>
          </w:p>
        </w:tc>
      </w:tr>
      <w:tr>
        <w:trPr>
          <w:cantSplit/>
        </w:trPr>
        <w:tc>
          <w:tcPr>
            <w:tcW w:type="dxa" w:w="172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Di Marzo Serugendo G.; Cappelli M.A.; Fabre G. (2024)</w:t>
            </w:r>
          </w:p>
        </w:tc>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Scopus</w:t>
            </w:r>
          </w:p>
        </w:tc>
        <w:tc>
          <w:tcPr>
            <w:tcW w:type="dxa" w:w="43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EX-n</w:t>
            </w:r>
          </w:p>
        </w:tc>
        <w:tc>
          <w:tcPr>
            <w:tcW w:type="dxa" w:w="216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Propuesta conceptual sin reporte de métricas empíricas cuantitativas reproducibles (F1-score exactitud o latencia).</w:t>
            </w:r>
          </w:p>
        </w:tc>
      </w:tr>
      <w:tr>
        <w:trPr>
          <w:cantSplit/>
        </w:trPr>
        <w:tc>
          <w:tcPr>
            <w:tcW w:type="dxa" w:w="172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Srivastava D.; Harit G. (2024)</w:t>
            </w:r>
          </w:p>
        </w:tc>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Scopus</w:t>
            </w:r>
          </w:p>
        </w:tc>
        <w:tc>
          <w:tcPr>
            <w:tcW w:type="dxa" w:w="43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EX-n</w:t>
            </w:r>
          </w:p>
        </w:tc>
        <w:tc>
          <w:tcPr>
            <w:tcW w:type="dxa" w:w="216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Propuesta conceptual sin reporte de métricas empíricas cuantitativas reproducibles (F1-score exactitud o latencia).</w:t>
            </w:r>
          </w:p>
        </w:tc>
      </w:tr>
      <w:tr>
        <w:trPr>
          <w:cantSplit/>
        </w:trPr>
        <w:tc>
          <w:tcPr>
            <w:tcW w:type="dxa" w:w="172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Han S.; Ji S.; Rhee J. (2023)</w:t>
            </w:r>
          </w:p>
        </w:tc>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Scopus</w:t>
            </w:r>
          </w:p>
        </w:tc>
        <w:tc>
          <w:tcPr>
            <w:tcW w:type="dxa" w:w="43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EX-n</w:t>
            </w:r>
          </w:p>
        </w:tc>
        <w:tc>
          <w:tcPr>
            <w:tcW w:type="dxa" w:w="216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Propuesta conceptual sin reporte de métricas empíricas cuantitativas reproducibles (F1-score exactitud o latencia).</w:t>
            </w:r>
          </w:p>
        </w:tc>
      </w:tr>
      <w:tr>
        <w:trPr>
          <w:cantSplit/>
        </w:trPr>
        <w:tc>
          <w:tcPr>
            <w:tcW w:type="dxa" w:w="172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Satirapiwong K.; Siriborvornratanakul T. (2021)</w:t>
            </w:r>
          </w:p>
        </w:tc>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Scopus</w:t>
            </w:r>
          </w:p>
        </w:tc>
        <w:tc>
          <w:tcPr>
            <w:tcW w:type="dxa" w:w="43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EX2</w:t>
            </w:r>
          </w:p>
        </w:tc>
        <w:tc>
          <w:tcPr>
            <w:tcW w:type="dxa" w:w="216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Texto completo no disponible a través de las suscripciones ni accesos institucionales autorizados.</w:t>
            </w:r>
          </w:p>
        </w:tc>
      </w:tr>
      <w:tr>
        <w:trPr>
          <w:cantSplit/>
        </w:trPr>
        <w:tc>
          <w:tcPr>
            <w:tcW w:type="dxa" w:w="172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Anbukkarasi S.; Varadhaganapathy S. (2020)</w:t>
            </w:r>
          </w:p>
        </w:tc>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Scopus</w:t>
            </w:r>
          </w:p>
        </w:tc>
        <w:tc>
          <w:tcPr>
            <w:tcW w:type="dxa" w:w="43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EX2</w:t>
            </w:r>
          </w:p>
        </w:tc>
        <w:tc>
          <w:tcPr>
            <w:tcW w:type="dxa" w:w="216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Texto completo no disponible a través de las suscripciones ni accesos institucionales autorizados.</w:t>
            </w:r>
          </w:p>
        </w:tc>
      </w:tr>
      <w:tr>
        <w:trPr>
          <w:cantSplit/>
        </w:trPr>
        <w:tc>
          <w:tcPr>
            <w:tcW w:type="dxa" w:w="172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Shin Y.; Cho Y.; Kang H.W.; Kang J.-G.; Lee C. (2020)</w:t>
            </w:r>
          </w:p>
        </w:tc>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Scopus</w:t>
            </w:r>
          </w:p>
        </w:tc>
        <w:tc>
          <w:tcPr>
            <w:tcW w:type="dxa" w:w="43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EX2</w:t>
            </w:r>
          </w:p>
        </w:tc>
        <w:tc>
          <w:tcPr>
            <w:tcW w:type="dxa" w:w="216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Texto completo no disponible a través de las suscripciones ni accesos institucionales autorizados.</w:t>
            </w:r>
          </w:p>
        </w:tc>
      </w:tr>
      <w:tr>
        <w:trPr>
          <w:cantSplit/>
        </w:trPr>
        <w:tc>
          <w:tcPr>
            <w:tcW w:type="dxa" w:w="172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Li Z.; Tian W.; Li C.; Li Y.; Shi H. (2023)</w:t>
            </w:r>
          </w:p>
        </w:tc>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Scopus</w:t>
            </w:r>
          </w:p>
        </w:tc>
        <w:tc>
          <w:tcPr>
            <w:tcW w:type="dxa" w:w="43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EX2</w:t>
            </w:r>
          </w:p>
        </w:tc>
        <w:tc>
          <w:tcPr>
            <w:tcW w:type="dxa" w:w="216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Texto completo no disponible a través de las suscripciones ni accesos institucionales autorizados.</w:t>
            </w:r>
          </w:p>
        </w:tc>
      </w:tr>
      <w:tr>
        <w:trPr>
          <w:cantSplit/>
        </w:trPr>
        <w:tc>
          <w:tcPr>
            <w:tcW w:type="dxa" w:w="172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Courtney J. (2021)</w:t>
            </w:r>
          </w:p>
        </w:tc>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Scopus</w:t>
            </w:r>
          </w:p>
        </w:tc>
        <w:tc>
          <w:tcPr>
            <w:tcW w:type="dxa" w:w="43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EX2</w:t>
            </w:r>
          </w:p>
        </w:tc>
        <w:tc>
          <w:tcPr>
            <w:tcW w:type="dxa" w:w="216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3"/>
              </w:rPr>
              <w:t>Texto completo no disponible a través de las suscripciones ni accesos institucionales autorizados.</w:t>
            </w:r>
          </w:p>
        </w:tc>
      </w:tr>
    </w:tbl>
    <w:p>
      <w:pPr>
        <w:keepNext/>
        <w:spacing w:before="200" w:after="60"/>
        <w:jc w:val="center"/>
      </w:pPr>
      <w:r>
        <w:rPr>
          <w:b/>
          <w:sz w:val="19"/>
        </w:rPr>
        <w:t>VIII. ESTUDIOS NUCLEARES Y MATRIZ DE MAPEO</w:t>
      </w:r>
    </w:p>
    <w:p>
      <w:pPr>
        <w:spacing w:line="240" w:lineRule="auto" w:before="0" w:after="60"/>
        <w:jc w:val="both"/>
      </w:pPr>
      <w:r>
        <w:rPr>
          <w:i w:val="0"/>
          <w:sz w:val="18"/>
        </w:rPr>
        <w:t>El corpus final primario (N = 131) se clasifica en cuatro estratos orgánicos según su cobertura demostrada sobre las preguntas PI1–PI4: Estudios Nucleares Insignia (4/4, n = 4, 3.1%), Estudios de Soporte Temático Avanzado (4/4 y 3/4, n = 108, 82.4%), Estudios de Soporte Algorítmico y Rendimiento (2/4, n = 17, 13.0%) y Estudios de Contextualización y Caracterización (1/4, n = 2, 1.5%).</w:t>
      </w:r>
    </w:p>
    <w:p>
      <w:pPr>
        <w:keepNext/>
        <w:spacing w:before="140" w:after="40"/>
        <w:jc w:val="left"/>
      </w:pPr>
      <w:r>
        <w:rPr>
          <w:b/>
          <w:i/>
          <w:sz w:val="18"/>
        </w:rPr>
        <w:t>A. Ficha Técnica de los 4 Estudios Nucleares Insignia</w:t>
      </w:r>
    </w:p>
    <w:p>
      <w:pPr>
        <w:spacing w:line="240" w:lineRule="auto" w:before="0" w:after="60"/>
        <w:jc w:val="both"/>
      </w:pPr>
      <w:r>
        <w:rPr>
          <w:i w:val="0"/>
          <w:sz w:val="18"/>
        </w:rPr>
        <w:t>Los cuatro estudios nucleares paradigmáticos corresponden 100% a artículos de revista científica de alto impacto en Scopus y Web of Science (Q1/Q2), seleccionados por su rigurosidad empírica y balance metodológico (ver Tabla IX):</w:t>
      </w:r>
    </w:p>
    <w:p>
      <w:pPr>
        <w:keepNext/>
        <w:spacing w:before="120" w:after="20"/>
        <w:jc w:val="center"/>
      </w:pPr>
      <w:r>
        <w:rPr>
          <w:b/>
          <w:sz w:val="15"/>
        </w:rPr>
        <w:t>TABLA IX</w:t>
        <w:br/>
      </w:r>
      <w:r>
        <w:rPr>
          <w:sz w:val="15"/>
        </w:rPr>
        <w:t>CARACTERIZACIÓN DE LOS 4 ESTUDIOS NUCLEARES INSIGNIA (100% REVISTA)</w:t>
      </w:r>
    </w:p>
    <w:tbl>
      <w:tblPr>
        <w:tblW w:type="auto" w:w="0"/>
        <w:jc w:val="center"/>
        <w:tblLook w:firstColumn="1" w:firstRow="1" w:lastColumn="0" w:lastRow="0" w:noHBand="0" w:noVBand="1" w:val="04A0"/>
      </w:tblPr>
      <w:tblGrid>
        <w:gridCol w:w="2056"/>
        <w:gridCol w:w="2056"/>
        <w:gridCol w:w="2056"/>
        <w:gridCol w:w="2056"/>
        <w:gridCol w:w="2056"/>
      </w:tblGrid>
      <w:tr>
        <w:trPr>
          <w:cantSplit/>
          <w:tblHeader/>
        </w:trPr>
        <w:tc>
          <w:tcPr>
            <w:tcW w:type="dxa" w:w="576"/>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5"/>
              </w:rPr>
              <w:t>ID</w:t>
            </w:r>
          </w:p>
        </w:tc>
        <w:tc>
          <w:tcPr>
            <w:tcW w:type="dxa" w:w="1008"/>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5"/>
              </w:rPr>
              <w:t>Autores y Año</w:t>
            </w:r>
          </w:p>
        </w:tc>
        <w:tc>
          <w:tcPr>
            <w:tcW w:type="dxa" w:w="1296"/>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5"/>
              </w:rPr>
              <w:t>Revista y Cuartil</w:t>
            </w:r>
          </w:p>
        </w:tc>
        <w:tc>
          <w:tcPr>
            <w:tcW w:type="dxa" w:w="864"/>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5"/>
              </w:rPr>
              <w:t>DOI</w:t>
            </w:r>
          </w:p>
        </w:tc>
        <w:tc>
          <w:tcPr>
            <w:tcW w:type="dxa" w:w="1152"/>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5"/>
              </w:rPr>
              <w:t>Aporte Metodológico Fundamental</w:t>
            </w:r>
          </w:p>
        </w:tc>
      </w:tr>
      <w:tr>
        <w:trPr>
          <w:cantSplit/>
        </w:trPr>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[S001]</w:t>
            </w:r>
          </w:p>
        </w:tc>
        <w:tc>
          <w:tcPr>
            <w:tcW w:type="dxa" w:w="100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Wei et al. (2026/2025)</w:t>
            </w:r>
          </w:p>
        </w:tc>
        <w:tc>
          <w:tcPr>
            <w:tcW w:type="dxa" w:w="129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Pattern Recognition (Elsevier, Q1)</w:t>
            </w:r>
          </w:p>
        </w:tc>
        <w:tc>
          <w:tcPr>
            <w:tcW w:type="dxa" w:w="86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10.1016/j.patcog.2025.112348</w:t>
            </w:r>
          </w:p>
        </w:tc>
        <w:tc>
          <w:tcPr>
            <w:tcW w:type="dxa" w:w="115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VLM multimodal para QA visual sobre gráficos y tablas financieras complejas, superando baselines de OCR tradicional.</w:t>
            </w:r>
          </w:p>
        </w:tc>
      </w:tr>
      <w:tr>
        <w:trPr>
          <w:cantSplit/>
        </w:trPr>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[S002]</w:t>
            </w:r>
          </w:p>
        </w:tc>
        <w:tc>
          <w:tcPr>
            <w:tcW w:type="dxa" w:w="100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Chen et al. (2025)</w:t>
            </w:r>
          </w:p>
        </w:tc>
        <w:tc>
          <w:tcPr>
            <w:tcW w:type="dxa" w:w="129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Electronics (MDPI, Q2)</w:t>
            </w:r>
          </w:p>
        </w:tc>
        <w:tc>
          <w:tcPr>
            <w:tcW w:type="dxa" w:w="86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10.3390/electronics14112145</w:t>
            </w:r>
          </w:p>
        </w:tc>
        <w:tc>
          <w:tcPr>
            <w:tcW w:type="dxa" w:w="115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Evaluación rigurosa de LLMs e ingeniería de prompts en extracción de información documental frente a reglas fijas.</w:t>
            </w:r>
          </w:p>
        </w:tc>
      </w:tr>
      <w:tr>
        <w:trPr>
          <w:cantSplit/>
        </w:trPr>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[S003]</w:t>
            </w:r>
          </w:p>
        </w:tc>
        <w:tc>
          <w:tcPr>
            <w:tcW w:type="dxa" w:w="100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Ali Khandokar &amp; Deshpande (2025)</w:t>
            </w:r>
          </w:p>
        </w:tc>
        <w:tc>
          <w:tcPr>
            <w:tcW w:type="dxa" w:w="129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IEEE Access (IEEE, Q1)</w:t>
            </w:r>
          </w:p>
        </w:tc>
        <w:tc>
          <w:tcPr>
            <w:tcW w:type="dxa" w:w="86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10.1109/access.2024.3522141</w:t>
            </w:r>
          </w:p>
        </w:tc>
        <w:tc>
          <w:tcPr>
            <w:tcW w:type="dxa" w:w="115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Pipeline de visión artificial y deep learning para extracción de tablas financieras heterogéneas sin plantillas rígidas.</w:t>
            </w:r>
          </w:p>
        </w:tc>
      </w:tr>
      <w:tr>
        <w:trPr>
          <w:cantSplit/>
        </w:trPr>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[S004]</w:t>
            </w:r>
          </w:p>
        </w:tc>
        <w:tc>
          <w:tcPr>
            <w:tcW w:type="dxa" w:w="100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Mifsud et al. (2025)</w:t>
            </w:r>
          </w:p>
        </w:tc>
        <w:tc>
          <w:tcPr>
            <w:tcW w:type="dxa" w:w="129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Mach. Learn. Knowl. Extr. (MDPI, Q2)</w:t>
            </w:r>
          </w:p>
        </w:tc>
        <w:tc>
          <w:tcPr>
            <w:tcW w:type="dxa" w:w="86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10.3390/make7040167</w:t>
            </w:r>
          </w:p>
        </w:tc>
        <w:tc>
          <w:tcPr>
            <w:tcW w:type="dxa" w:w="115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Modelo híbrido que combina y contrasta Transformers multimodales con sistemas basados en reglas en recibos comerciales.</w:t>
            </w:r>
          </w:p>
        </w:tc>
      </w:tr>
    </w:tbl>
    <w:p>
      <w:pPr>
        <w:keepNext/>
        <w:spacing w:before="140" w:after="40"/>
        <w:jc w:val="left"/>
      </w:pPr>
      <w:r>
        <w:rPr>
          <w:b/>
          <w:i/>
          <w:sz w:val="18"/>
        </w:rPr>
        <w:t>B. Muestra de la Matriz de Mapeo frente a PI1–PI4</w:t>
      </w:r>
    </w:p>
    <w:p>
      <w:pPr>
        <w:spacing w:line="240" w:lineRule="auto" w:before="0" w:after="60"/>
        <w:jc w:val="both"/>
      </w:pPr>
      <w:r>
        <w:rPr>
          <w:i w:val="0"/>
          <w:sz w:val="18"/>
        </w:rPr>
        <w:t>La Tabla X ilustra la matriz de cobertura para los estudios nucleares y una muestra de estudios de soporte representativos:</w:t>
      </w:r>
    </w:p>
    <w:p>
      <w:pPr>
        <w:keepNext/>
        <w:spacing w:before="120" w:after="20"/>
        <w:jc w:val="center"/>
      </w:pPr>
      <w:r>
        <w:rPr>
          <w:b/>
          <w:sz w:val="15"/>
        </w:rPr>
        <w:t>TABLA X</w:t>
        <w:br/>
      </w:r>
      <w:r>
        <w:rPr>
          <w:sz w:val="15"/>
        </w:rPr>
        <w:t>MUESTRA REPRESENTATIVA DE LA MATRIZ DE MAPEO FRENTE A PI1–PI4</w:t>
      </w:r>
    </w:p>
    <w:tbl>
      <w:tblPr>
        <w:tblW w:type="auto" w:w="0"/>
        <w:jc w:val="center"/>
        <w:tblLook w:firstColumn="1" w:firstRow="1" w:lastColumn="0" w:lastRow="0" w:noHBand="0" w:noVBand="1" w:val="04A0"/>
      </w:tblPr>
      <w:tblGrid>
        <w:gridCol w:w="1285"/>
        <w:gridCol w:w="1285"/>
        <w:gridCol w:w="1285"/>
        <w:gridCol w:w="1285"/>
        <w:gridCol w:w="1285"/>
        <w:gridCol w:w="1285"/>
        <w:gridCol w:w="1285"/>
        <w:gridCol w:w="1285"/>
      </w:tblGrid>
      <w:tr>
        <w:trPr>
          <w:cantSplit/>
          <w:tblHeader/>
        </w:trPr>
        <w:tc>
          <w:tcPr>
            <w:tcW w:type="dxa" w:w="576"/>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5"/>
              </w:rPr>
              <w:t>ID</w:t>
            </w:r>
          </w:p>
        </w:tc>
        <w:tc>
          <w:tcPr>
            <w:tcW w:type="dxa" w:w="1584"/>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5"/>
              </w:rPr>
              <w:t>Autores (Año)</w:t>
            </w:r>
          </w:p>
        </w:tc>
        <w:tc>
          <w:tcPr>
            <w:tcW w:type="dxa" w:w="288"/>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5"/>
              </w:rPr>
              <w:t>PI1</w:t>
            </w:r>
          </w:p>
        </w:tc>
        <w:tc>
          <w:tcPr>
            <w:tcW w:type="dxa" w:w="288"/>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5"/>
              </w:rPr>
              <w:t>PI2</w:t>
            </w:r>
          </w:p>
        </w:tc>
        <w:tc>
          <w:tcPr>
            <w:tcW w:type="dxa" w:w="288"/>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5"/>
              </w:rPr>
              <w:t>PI3</w:t>
            </w:r>
          </w:p>
        </w:tc>
        <w:tc>
          <w:tcPr>
            <w:tcW w:type="dxa" w:w="288"/>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5"/>
              </w:rPr>
              <w:t>PI4</w:t>
            </w:r>
          </w:p>
        </w:tc>
        <w:tc>
          <w:tcPr>
            <w:tcW w:type="dxa" w:w="432"/>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5"/>
              </w:rPr>
              <w:t>Total</w:t>
            </w:r>
          </w:p>
        </w:tc>
        <w:tc>
          <w:tcPr>
            <w:tcW w:type="dxa" w:w="1152"/>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5"/>
              </w:rPr>
              <w:t>Estrato de Evidencia</w:t>
            </w:r>
          </w:p>
        </w:tc>
      </w:tr>
      <w:tr>
        <w:trPr>
          <w:cantSplit/>
        </w:trPr>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[S001]</w:t>
            </w:r>
          </w:p>
        </w:tc>
        <w:tc>
          <w:tcPr>
            <w:tcW w:type="dxa" w:w="158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Wei, JX et al. (2026)</w:t>
            </w:r>
          </w:p>
        </w:tc>
        <w:tc>
          <w:tcPr>
            <w:tcW w:type="dxa" w:w="28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w:t>
            </w:r>
          </w:p>
        </w:tc>
        <w:tc>
          <w:tcPr>
            <w:tcW w:type="dxa" w:w="28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w:t>
            </w:r>
          </w:p>
        </w:tc>
        <w:tc>
          <w:tcPr>
            <w:tcW w:type="dxa" w:w="28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w:t>
            </w:r>
          </w:p>
        </w:tc>
        <w:tc>
          <w:tcPr>
            <w:tcW w:type="dxa" w:w="28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w:t>
            </w:r>
          </w:p>
        </w:tc>
        <w:tc>
          <w:tcPr>
            <w:tcW w:type="dxa" w:w="43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4/4</w:t>
            </w:r>
          </w:p>
        </w:tc>
        <w:tc>
          <w:tcPr>
            <w:tcW w:type="dxa" w:w="115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Nuclear</w:t>
            </w:r>
          </w:p>
        </w:tc>
      </w:tr>
      <w:tr>
        <w:trPr>
          <w:cantSplit/>
        </w:trPr>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[S002]</w:t>
            </w:r>
          </w:p>
        </w:tc>
        <w:tc>
          <w:tcPr>
            <w:tcW w:type="dxa" w:w="158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Chen L.-C. et al. (2025)</w:t>
            </w:r>
          </w:p>
        </w:tc>
        <w:tc>
          <w:tcPr>
            <w:tcW w:type="dxa" w:w="28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w:t>
            </w:r>
          </w:p>
        </w:tc>
        <w:tc>
          <w:tcPr>
            <w:tcW w:type="dxa" w:w="28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w:t>
            </w:r>
          </w:p>
        </w:tc>
        <w:tc>
          <w:tcPr>
            <w:tcW w:type="dxa" w:w="28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w:t>
            </w:r>
          </w:p>
        </w:tc>
        <w:tc>
          <w:tcPr>
            <w:tcW w:type="dxa" w:w="28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w:t>
            </w:r>
          </w:p>
        </w:tc>
        <w:tc>
          <w:tcPr>
            <w:tcW w:type="dxa" w:w="43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4/4</w:t>
            </w:r>
          </w:p>
        </w:tc>
        <w:tc>
          <w:tcPr>
            <w:tcW w:type="dxa" w:w="115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Nuclear</w:t>
            </w:r>
          </w:p>
        </w:tc>
      </w:tr>
      <w:tr>
        <w:trPr>
          <w:cantSplit/>
        </w:trPr>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[S003]</w:t>
            </w:r>
          </w:p>
        </w:tc>
        <w:tc>
          <w:tcPr>
            <w:tcW w:type="dxa" w:w="158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Ali Khandokar I. et al. (2025)</w:t>
            </w:r>
          </w:p>
        </w:tc>
        <w:tc>
          <w:tcPr>
            <w:tcW w:type="dxa" w:w="28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w:t>
            </w:r>
          </w:p>
        </w:tc>
        <w:tc>
          <w:tcPr>
            <w:tcW w:type="dxa" w:w="28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w:t>
            </w:r>
          </w:p>
        </w:tc>
        <w:tc>
          <w:tcPr>
            <w:tcW w:type="dxa" w:w="28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w:t>
            </w:r>
          </w:p>
        </w:tc>
        <w:tc>
          <w:tcPr>
            <w:tcW w:type="dxa" w:w="28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w:t>
            </w:r>
          </w:p>
        </w:tc>
        <w:tc>
          <w:tcPr>
            <w:tcW w:type="dxa" w:w="43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4/4</w:t>
            </w:r>
          </w:p>
        </w:tc>
        <w:tc>
          <w:tcPr>
            <w:tcW w:type="dxa" w:w="115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Nuclear</w:t>
            </w:r>
          </w:p>
        </w:tc>
      </w:tr>
      <w:tr>
        <w:trPr>
          <w:cantSplit/>
        </w:trPr>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[S004]</w:t>
            </w:r>
          </w:p>
        </w:tc>
        <w:tc>
          <w:tcPr>
            <w:tcW w:type="dxa" w:w="158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Mifsud X. et al. (2025)</w:t>
            </w:r>
          </w:p>
        </w:tc>
        <w:tc>
          <w:tcPr>
            <w:tcW w:type="dxa" w:w="28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w:t>
            </w:r>
          </w:p>
        </w:tc>
        <w:tc>
          <w:tcPr>
            <w:tcW w:type="dxa" w:w="28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w:t>
            </w:r>
          </w:p>
        </w:tc>
        <w:tc>
          <w:tcPr>
            <w:tcW w:type="dxa" w:w="28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w:t>
            </w:r>
          </w:p>
        </w:tc>
        <w:tc>
          <w:tcPr>
            <w:tcW w:type="dxa" w:w="28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w:t>
            </w:r>
          </w:p>
        </w:tc>
        <w:tc>
          <w:tcPr>
            <w:tcW w:type="dxa" w:w="43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4/4</w:t>
            </w:r>
          </w:p>
        </w:tc>
        <w:tc>
          <w:tcPr>
            <w:tcW w:type="dxa" w:w="115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Nuclear</w:t>
            </w:r>
          </w:p>
        </w:tc>
      </w:tr>
      <w:tr>
        <w:trPr>
          <w:cantSplit/>
        </w:trPr>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[S005]</w:t>
            </w:r>
          </w:p>
        </w:tc>
        <w:tc>
          <w:tcPr>
            <w:tcW w:type="dxa" w:w="158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Yu J.-M. et al. (2025)</w:t>
            </w:r>
          </w:p>
        </w:tc>
        <w:tc>
          <w:tcPr>
            <w:tcW w:type="dxa" w:w="28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w:t>
            </w:r>
          </w:p>
        </w:tc>
        <w:tc>
          <w:tcPr>
            <w:tcW w:type="dxa" w:w="28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w:t>
            </w:r>
          </w:p>
        </w:tc>
        <w:tc>
          <w:tcPr>
            <w:tcW w:type="dxa" w:w="28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w:t>
            </w:r>
          </w:p>
        </w:tc>
        <w:tc>
          <w:tcPr>
            <w:tcW w:type="dxa" w:w="28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w:t>
            </w:r>
          </w:p>
        </w:tc>
        <w:tc>
          <w:tcPr>
            <w:tcW w:type="dxa" w:w="43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4/4</w:t>
            </w:r>
          </w:p>
        </w:tc>
        <w:tc>
          <w:tcPr>
            <w:tcW w:type="dxa" w:w="115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Soporte (4/4)</w:t>
            </w:r>
          </w:p>
        </w:tc>
      </w:tr>
      <w:tr>
        <w:trPr>
          <w:cantSplit/>
        </w:trPr>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[S015]</w:t>
            </w:r>
          </w:p>
        </w:tc>
        <w:tc>
          <w:tcPr>
            <w:tcW w:type="dxa" w:w="158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Abdalla M. et al. (2025)</w:t>
            </w:r>
          </w:p>
        </w:tc>
        <w:tc>
          <w:tcPr>
            <w:tcW w:type="dxa" w:w="28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w:t>
            </w:r>
          </w:p>
        </w:tc>
        <w:tc>
          <w:tcPr>
            <w:tcW w:type="dxa" w:w="28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w:t>
            </w:r>
          </w:p>
        </w:tc>
        <w:tc>
          <w:tcPr>
            <w:tcW w:type="dxa" w:w="28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w:t>
            </w:r>
          </w:p>
        </w:tc>
        <w:tc>
          <w:tcPr>
            <w:tcW w:type="dxa" w:w="28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w:t>
            </w:r>
          </w:p>
        </w:tc>
        <w:tc>
          <w:tcPr>
            <w:tcW w:type="dxa" w:w="43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4/4</w:t>
            </w:r>
          </w:p>
        </w:tc>
        <w:tc>
          <w:tcPr>
            <w:tcW w:type="dxa" w:w="115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Soporte (4/4)</w:t>
            </w:r>
          </w:p>
        </w:tc>
      </w:tr>
      <w:tr>
        <w:trPr>
          <w:cantSplit/>
        </w:trPr>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[S030]</w:t>
            </w:r>
          </w:p>
        </w:tc>
        <w:tc>
          <w:tcPr>
            <w:tcW w:type="dxa" w:w="158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Jia M. et al. (2025)</w:t>
            </w:r>
          </w:p>
        </w:tc>
        <w:tc>
          <w:tcPr>
            <w:tcW w:type="dxa" w:w="28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w:t>
            </w:r>
          </w:p>
        </w:tc>
        <w:tc>
          <w:tcPr>
            <w:tcW w:type="dxa" w:w="28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w:t>
            </w:r>
          </w:p>
        </w:tc>
        <w:tc>
          <w:tcPr>
            <w:tcW w:type="dxa" w:w="28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w:t>
            </w:r>
          </w:p>
        </w:tc>
        <w:tc>
          <w:tcPr>
            <w:tcW w:type="dxa" w:w="28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w:t>
            </w:r>
          </w:p>
        </w:tc>
        <w:tc>
          <w:tcPr>
            <w:tcW w:type="dxa" w:w="43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4/4</w:t>
            </w:r>
          </w:p>
        </w:tc>
        <w:tc>
          <w:tcPr>
            <w:tcW w:type="dxa" w:w="115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Soporte (4/4)</w:t>
            </w:r>
          </w:p>
        </w:tc>
      </w:tr>
      <w:tr>
        <w:trPr>
          <w:cantSplit/>
        </w:trPr>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[S050]</w:t>
            </w:r>
          </w:p>
        </w:tc>
        <w:tc>
          <w:tcPr>
            <w:tcW w:type="dxa" w:w="158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Lee E. et al. (2022)</w:t>
            </w:r>
          </w:p>
        </w:tc>
        <w:tc>
          <w:tcPr>
            <w:tcW w:type="dxa" w:w="28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w:t>
            </w:r>
          </w:p>
        </w:tc>
        <w:tc>
          <w:tcPr>
            <w:tcW w:type="dxa" w:w="28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w:t>
            </w:r>
          </w:p>
        </w:tc>
        <w:tc>
          <w:tcPr>
            <w:tcW w:type="dxa" w:w="28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w:t>
            </w:r>
          </w:p>
        </w:tc>
        <w:tc>
          <w:tcPr>
            <w:tcW w:type="dxa" w:w="28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w:t>
            </w:r>
          </w:p>
        </w:tc>
        <w:tc>
          <w:tcPr>
            <w:tcW w:type="dxa" w:w="43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4/4</w:t>
            </w:r>
          </w:p>
        </w:tc>
        <w:tc>
          <w:tcPr>
            <w:tcW w:type="dxa" w:w="115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Soporte (4/4)</w:t>
            </w:r>
          </w:p>
        </w:tc>
      </w:tr>
      <w:tr>
        <w:trPr>
          <w:cantSplit/>
        </w:trPr>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[S075]</w:t>
            </w:r>
          </w:p>
        </w:tc>
        <w:tc>
          <w:tcPr>
            <w:tcW w:type="dxa" w:w="158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Arshad A. et al. (2025)</w:t>
            </w:r>
          </w:p>
        </w:tc>
        <w:tc>
          <w:tcPr>
            <w:tcW w:type="dxa" w:w="28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w:t>
            </w:r>
          </w:p>
        </w:tc>
        <w:tc>
          <w:tcPr>
            <w:tcW w:type="dxa" w:w="28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w:t>
            </w:r>
          </w:p>
        </w:tc>
        <w:tc>
          <w:tcPr>
            <w:tcW w:type="dxa" w:w="28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w:t>
            </w:r>
          </w:p>
        </w:tc>
        <w:tc>
          <w:tcPr>
            <w:tcW w:type="dxa" w:w="28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w:t>
            </w:r>
          </w:p>
        </w:tc>
        <w:tc>
          <w:tcPr>
            <w:tcW w:type="dxa" w:w="43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3/4</w:t>
            </w:r>
          </w:p>
        </w:tc>
        <w:tc>
          <w:tcPr>
            <w:tcW w:type="dxa" w:w="115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Soporte (3/4)</w:t>
            </w:r>
          </w:p>
        </w:tc>
      </w:tr>
      <w:tr>
        <w:trPr>
          <w:cantSplit/>
        </w:trPr>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[S100]</w:t>
            </w:r>
          </w:p>
        </w:tc>
        <w:tc>
          <w:tcPr>
            <w:tcW w:type="dxa" w:w="158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Yeung O.M. et al. (2023)</w:t>
            </w:r>
          </w:p>
        </w:tc>
        <w:tc>
          <w:tcPr>
            <w:tcW w:type="dxa" w:w="28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w:t>
            </w:r>
          </w:p>
        </w:tc>
        <w:tc>
          <w:tcPr>
            <w:tcW w:type="dxa" w:w="28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w:t>
            </w:r>
          </w:p>
        </w:tc>
        <w:tc>
          <w:tcPr>
            <w:tcW w:type="dxa" w:w="28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w:t>
            </w:r>
          </w:p>
        </w:tc>
        <w:tc>
          <w:tcPr>
            <w:tcW w:type="dxa" w:w="28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w:t>
            </w:r>
          </w:p>
        </w:tc>
        <w:tc>
          <w:tcPr>
            <w:tcW w:type="dxa" w:w="43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3/4</w:t>
            </w:r>
          </w:p>
        </w:tc>
        <w:tc>
          <w:tcPr>
            <w:tcW w:type="dxa" w:w="115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Soporte (3/4)</w:t>
            </w:r>
          </w:p>
        </w:tc>
      </w:tr>
      <w:tr>
        <w:trPr>
          <w:cantSplit/>
        </w:trPr>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[S125]</w:t>
            </w:r>
          </w:p>
        </w:tc>
        <w:tc>
          <w:tcPr>
            <w:tcW w:type="dxa" w:w="158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Azman N.A. et al. (2021)</w:t>
            </w:r>
          </w:p>
        </w:tc>
        <w:tc>
          <w:tcPr>
            <w:tcW w:type="dxa" w:w="28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w:t>
            </w:r>
          </w:p>
        </w:tc>
        <w:tc>
          <w:tcPr>
            <w:tcW w:type="dxa" w:w="28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w:t>
            </w:r>
          </w:p>
        </w:tc>
        <w:tc>
          <w:tcPr>
            <w:tcW w:type="dxa" w:w="28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w:t>
            </w:r>
          </w:p>
        </w:tc>
        <w:tc>
          <w:tcPr>
            <w:tcW w:type="dxa" w:w="288"/>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w:t>
            </w:r>
          </w:p>
        </w:tc>
        <w:tc>
          <w:tcPr>
            <w:tcW w:type="dxa" w:w="43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sz w:val="15"/>
              </w:rPr>
              <w:t>2/4</w:t>
            </w:r>
          </w:p>
        </w:tc>
        <w:tc>
          <w:tcPr>
            <w:tcW w:type="dxa" w:w="115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Soporte (2/4)</w:t>
            </w:r>
          </w:p>
        </w:tc>
      </w:tr>
    </w:tbl>
    <w:p>
      <w:pPr>
        <w:keepNext/>
        <w:spacing w:before="200" w:after="60"/>
        <w:jc w:val="center"/>
      </w:pPr>
      <w:r>
        <w:rPr>
          <w:b/>
          <w:sz w:val="19"/>
        </w:rPr>
        <w:t>IX. VINCULACIÓN CON RESULTADOS Y SÍNTESIS</w:t>
      </w:r>
    </w:p>
    <w:p>
      <w:pPr>
        <w:spacing w:line="240" w:lineRule="auto" w:before="0" w:after="60"/>
        <w:jc w:val="both"/>
      </w:pPr>
      <w:r>
        <w:rPr>
          <w:b/>
          <w:sz w:val="18"/>
        </w:rPr>
        <w:t xml:space="preserve">Estrategia de Síntesis y Justificación de la Inviabilidad de Metaanálisis Cuantitativo: </w:t>
      </w:r>
      <w:r>
        <w:rPr>
          <w:i w:val="0"/>
          <w:sz w:val="18"/>
        </w:rPr>
        <w:t>Siguiendo las directrices metodológicas de Kitchenham &amp; Charters (2007) y PRISMA 2020, los hallazgos de los 131 estudios primarios se consolidaron mediante una síntesis narrativa temática complementada con análisis cuantitativo descriptivo y agregación estadística tabular. Se descarta formalmente la ejecución de un metaanálisis estadístico de efectos fijos o aleatorios debido a la profunda heterogeneidad técnica, métrica y contextual del dominio de Information Extraction en documentos empresariales: (a) heterogeneidad métrica: los estudios evalúan el rendimiento a niveles de granularidad conceptualmente incompatibles (exactitud de OCR a nivel de carácter/token mediante CER/WER frente a KIE a nivel de entidad semántica completa mediante F1-score estricto vs. relajado y ANLS en preguntas y respuestas visuales); (b) heterogeneidad de entornos de ejecución: las latencias y velocidades de inferencia reportadas (ms/página) dependen de infraestructuras de hardware dispares (desde clústeres NVIDIA A100/H100 hasta servidores locales sin GPU acelerada), imposibilitando un pool homogéneo de tiempos; y (c) disparidad de corpus de validación: mientras una fracción de autores evalúa sobre benchmarks públicos (SROIE, CORD, FUNSD), una porción sustancial valida sus arquitecturas en datasets corporativos cerrados y propietarios no estandarizados, los cuales no reportan intervalos de confianza ni desviaciones estándar requeridas para un modelo metaanalítico combinado. En consecuencia, la síntesis narrativa-estructurada por preguntas de investigación constituye el enfoque epistemológicamente riguroso y apropiado.</w:t>
      </w:r>
    </w:p>
    <w:p>
      <w:pPr>
        <w:spacing w:line="240" w:lineRule="auto" w:before="0" w:after="60"/>
        <w:jc w:val="both"/>
      </w:pPr>
      <w:r>
        <w:rPr>
          <w:i w:val="0"/>
          <w:sz w:val="18"/>
        </w:rPr>
        <w:t>Cada una de las siete preguntas de investigación (PD1–PD3 y PI1–PI4) se mapea directamente con una tabla y un gráfico cuantitativo asignado en la sección de Resultados (ver Tabla XI):</w:t>
      </w:r>
    </w:p>
    <w:p>
      <w:pPr>
        <w:keepNext/>
        <w:spacing w:before="120" w:after="20"/>
        <w:jc w:val="center"/>
      </w:pPr>
      <w:r>
        <w:rPr>
          <w:b/>
          <w:sz w:val="15"/>
        </w:rPr>
        <w:t>TABLA XI</w:t>
        <w:br/>
      </w:r>
      <w:r>
        <w:rPr>
          <w:sz w:val="15"/>
        </w:rPr>
        <w:t>MATRIZ DE ENLACE BIUNÍVOCO ENTRE PREGUNTAS Y RESULTADOS</w:t>
      </w:r>
    </w:p>
    <w:tbl>
      <w:tblPr>
        <w:tblW w:type="auto" w:w="0"/>
        <w:jc w:val="center"/>
        <w:tblLook w:firstColumn="1" w:firstRow="1" w:lastColumn="0" w:lastRow="0" w:noHBand="0" w:noVBand="1" w:val="04A0"/>
      </w:tblPr>
      <w:tblGrid>
        <w:gridCol w:w="2569"/>
        <w:gridCol w:w="2569"/>
        <w:gridCol w:w="2569"/>
        <w:gridCol w:w="2569"/>
      </w:tblGrid>
      <w:tr>
        <w:trPr>
          <w:cantSplit/>
          <w:tblHeader/>
        </w:trPr>
        <w:tc>
          <w:tcPr>
            <w:tcW w:type="dxa" w:w="576"/>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5"/>
              </w:rPr>
              <w:t>Pregunta</w:t>
            </w:r>
          </w:p>
        </w:tc>
        <w:tc>
          <w:tcPr>
            <w:tcW w:type="dxa" w:w="1584"/>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5"/>
              </w:rPr>
              <w:t>Contenido Temático a Responder</w:t>
            </w:r>
          </w:p>
        </w:tc>
        <w:tc>
          <w:tcPr>
            <w:tcW w:type="dxa" w:w="1440"/>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5"/>
              </w:rPr>
              <w:t>Tabla de Evidencia Asignada</w:t>
            </w:r>
          </w:p>
        </w:tc>
        <w:tc>
          <w:tcPr>
            <w:tcW w:type="dxa" w:w="1296"/>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5"/>
              </w:rPr>
              <w:t>Gráfico Asignado</w:t>
            </w:r>
          </w:p>
        </w:tc>
      </w:tr>
      <w:tr>
        <w:trPr>
          <w:cantSplit/>
        </w:trPr>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PD1</w:t>
            </w:r>
          </w:p>
        </w:tc>
        <w:tc>
          <w:tcPr>
            <w:tcW w:type="dxa" w:w="158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Evolución temporal de publicaciones sobre IA/IDP en documentos empresariales.</w:t>
            </w:r>
          </w:p>
        </w:tc>
        <w:tc>
          <w:tcPr>
            <w:tcW w:type="dxa" w:w="144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Distribución anual de artículos (2020–2025).</w:t>
            </w:r>
          </w:p>
        </w:tc>
        <w:tc>
          <w:tcPr>
            <w:tcW w:type="dxa" w:w="129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Gráfico de líneas de tendencia temporal.</w:t>
            </w:r>
          </w:p>
        </w:tc>
      </w:tr>
      <w:tr>
        <w:trPr>
          <w:cantSplit/>
        </w:trPr>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PD2</w:t>
            </w:r>
          </w:p>
        </w:tc>
        <w:tc>
          <w:tcPr>
            <w:tcW w:type="dxa" w:w="158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Productividad académica por autores, revistas indexadas y países líderes.</w:t>
            </w:r>
          </w:p>
        </w:tc>
        <w:tc>
          <w:tcPr>
            <w:tcW w:type="dxa" w:w="144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Ranking de las 10 revistas líderes y países.</w:t>
            </w:r>
          </w:p>
        </w:tc>
        <w:tc>
          <w:tcPr>
            <w:tcW w:type="dxa" w:w="129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Gráfico de barras horizontales geográfico.</w:t>
            </w:r>
          </w:p>
        </w:tc>
      </w:tr>
      <w:tr>
        <w:trPr>
          <w:cantSplit/>
        </w:trPr>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PD3</w:t>
            </w:r>
          </w:p>
        </w:tc>
        <w:tc>
          <w:tcPr>
            <w:tcW w:type="dxa" w:w="158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Distribución de diseños metodológicos y datasets (públicos vs. privados).</w:t>
            </w:r>
          </w:p>
        </w:tc>
        <w:tc>
          <w:tcPr>
            <w:tcW w:type="dxa" w:w="144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Tabla cruzada: diseño × tipo de dataset.</w:t>
            </w:r>
          </w:p>
        </w:tc>
        <w:tc>
          <w:tcPr>
            <w:tcW w:type="dxa" w:w="129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Gráfico de barras apiladas de validación.</w:t>
            </w:r>
          </w:p>
        </w:tc>
      </w:tr>
      <w:tr>
        <w:trPr>
          <w:cantSplit/>
        </w:trPr>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PI1</w:t>
            </w:r>
          </w:p>
        </w:tc>
        <w:tc>
          <w:tcPr>
            <w:tcW w:type="dxa" w:w="158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Taxonomía de enfoques algorítmicos (secuencias, grafos, transformers multimodales).</w:t>
            </w:r>
          </w:p>
        </w:tc>
        <w:tc>
          <w:tcPr>
            <w:tcW w:type="dxa" w:w="144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Matriz de arquitecturas de IA identificadas.</w:t>
            </w:r>
          </w:p>
        </w:tc>
        <w:tc>
          <w:tcPr>
            <w:tcW w:type="dxa" w:w="129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Gráfico de barras por familia algorítmica.</w:t>
            </w:r>
          </w:p>
        </w:tc>
      </w:tr>
      <w:tr>
        <w:trPr>
          <w:cantSplit/>
        </w:trPr>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PI2</w:t>
            </w:r>
          </w:p>
        </w:tc>
        <w:tc>
          <w:tcPr>
            <w:tcW w:type="dxa" w:w="158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Rendimiento cuantitativo reportado (F1-score, exactitud, latencia de inferencia).</w:t>
            </w:r>
          </w:p>
        </w:tc>
        <w:tc>
          <w:tcPr>
            <w:tcW w:type="dxa" w:w="144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Tabla comparativa de métricas estadísticas.</w:t>
            </w:r>
          </w:p>
        </w:tc>
        <w:tc>
          <w:tcPr>
            <w:tcW w:type="dxa" w:w="129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Diagrama de cajas y bigotes (boxplot).</w:t>
            </w:r>
          </w:p>
        </w:tc>
      </w:tr>
      <w:tr>
        <w:trPr>
          <w:cantSplit/>
        </w:trPr>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PI3</w:t>
            </w:r>
          </w:p>
        </w:tc>
        <w:tc>
          <w:tcPr>
            <w:tcW w:type="dxa" w:w="158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Comparativa de eficiencia y costo: IA/IDP frente a ingreso manual y reglas.</w:t>
            </w:r>
          </w:p>
        </w:tc>
        <w:tc>
          <w:tcPr>
            <w:tcW w:type="dxa" w:w="144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Ganancia en velocidad y reducción de error.</w:t>
            </w:r>
          </w:p>
        </w:tc>
        <w:tc>
          <w:tcPr>
            <w:tcW w:type="dxa" w:w="129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Gráfico comparativo: Tradicional vs. IA.</w:t>
            </w:r>
          </w:p>
        </w:tc>
      </w:tr>
      <w:tr>
        <w:trPr>
          <w:cantSplit/>
        </w:trPr>
        <w:tc>
          <w:tcPr>
            <w:tcW w:type="dxa" w:w="57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PI4</w:t>
            </w:r>
          </w:p>
        </w:tc>
        <w:tc>
          <w:tcPr>
            <w:tcW w:type="dxa" w:w="158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Tipologías documentales (facturas, recibos) y sistemas ERP/CRM integrados.</w:t>
            </w:r>
          </w:p>
        </w:tc>
        <w:tc>
          <w:tcPr>
            <w:tcW w:type="dxa" w:w="144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Frecuencia por tipo de documento × plataforma.</w:t>
            </w:r>
          </w:p>
        </w:tc>
        <w:tc>
          <w:tcPr>
            <w:tcW w:type="dxa" w:w="1296"/>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Matriz de calor (heatmap) documental.</w:t>
            </w:r>
          </w:p>
        </w:tc>
      </w:tr>
    </w:tbl>
    <w:p>
      <w:pPr>
        <w:keepNext/>
        <w:spacing w:before="200" w:after="60"/>
        <w:jc w:val="center"/>
      </w:pPr>
      <w:r>
        <w:rPr>
          <w:b/>
          <w:sz w:val="19"/>
        </w:rPr>
        <w:t>X. AMENAZAS A LA VALIDEZ Y MITIGACIÓN</w:t>
      </w:r>
    </w:p>
    <w:p>
      <w:pPr>
        <w:spacing w:line="240" w:lineRule="auto" w:before="0" w:after="60"/>
        <w:jc w:val="both"/>
      </w:pPr>
      <w:r>
        <w:rPr>
          <w:i w:val="0"/>
          <w:sz w:val="18"/>
        </w:rPr>
        <w:t>Se identifican cuatro dimensiones de riesgo metodológico mitigadas sistemáticamente durante el protocolo (ver Tabla XII):</w:t>
      </w:r>
    </w:p>
    <w:p>
      <w:pPr>
        <w:keepNext/>
        <w:spacing w:before="120" w:after="20"/>
        <w:jc w:val="center"/>
      </w:pPr>
      <w:r>
        <w:rPr>
          <w:b/>
          <w:sz w:val="15"/>
        </w:rPr>
        <w:t>TABLA XII</w:t>
        <w:br/>
      </w:r>
      <w:r>
        <w:rPr>
          <w:sz w:val="15"/>
        </w:rPr>
        <w:t>AMENAZAS A LA VALIDEZ Y ACCIONES DE MITIGACIÓN</w:t>
      </w:r>
    </w:p>
    <w:tbl>
      <w:tblPr>
        <w:tblW w:type="auto" w:w="0"/>
        <w:jc w:val="center"/>
        <w:tblLook w:firstColumn="1" w:firstRow="1" w:lastColumn="0" w:lastRow="0" w:noHBand="0" w:noVBand="1" w:val="04A0"/>
      </w:tblPr>
      <w:tblGrid>
        <w:gridCol w:w="3426"/>
        <w:gridCol w:w="3426"/>
        <w:gridCol w:w="3426"/>
      </w:tblGrid>
      <w:tr>
        <w:trPr>
          <w:cantSplit/>
          <w:tblHeader/>
        </w:trPr>
        <w:tc>
          <w:tcPr>
            <w:tcW w:type="dxa" w:w="1152"/>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5"/>
              </w:rPr>
              <w:t>Dimensión</w:t>
            </w:r>
          </w:p>
        </w:tc>
        <w:tc>
          <w:tcPr>
            <w:tcW w:type="dxa" w:w="1584"/>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5"/>
              </w:rPr>
              <w:t>Riesgo de Sesgo Identificado</w:t>
            </w:r>
          </w:p>
        </w:tc>
        <w:tc>
          <w:tcPr>
            <w:tcW w:type="dxa" w:w="2160"/>
            <w:tcMar>
              <w:top w:w="40" w:type="dxa"/>
              <w:bottom w:w="40" w:type="dxa"/>
              <w:left w:w="60" w:type="dxa"/>
              <w:right w:w="60" w:type="dxa"/>
            </w:tcMar>
            <w:shd w:fill="E8EEF5"/>
            <w:tcBorders>
              <w:top w:val="single" w:sz="4" w:space="0" w:color="CCCCCC"/>
              <w:bottom w:val="single" w:sz="4" w:space="0" w:color="CCCCCC"/>
              <w:left w:val="none"/>
              <w:right w:val="none"/>
            </w:tcBorders>
          </w:tcPr>
          <w:p>
            <w:pPr>
              <w:spacing w:line="240" w:lineRule="auto" w:before="20" w:after="20"/>
              <w:jc w:val="center"/>
            </w:pPr>
            <w:r>
              <w:rPr>
                <w:rFonts w:ascii="Times New Roman" w:hAnsi="Times New Roman"/>
                <w:b/>
                <w:sz w:val="15"/>
              </w:rPr>
              <w:t>Estrategia de Mitigación Implementada</w:t>
            </w:r>
          </w:p>
        </w:tc>
      </w:tr>
      <w:tr>
        <w:trPr>
          <w:cantSplit/>
        </w:trPr>
        <w:tc>
          <w:tcPr>
            <w:tcW w:type="dxa" w:w="115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Sesgo de Selección</w:t>
            </w:r>
          </w:p>
        </w:tc>
        <w:tc>
          <w:tcPr>
            <w:tcW w:type="dxa" w:w="158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Omisión de literatura relevante o inclusión de ruido ajeno.</w:t>
            </w:r>
          </w:p>
        </w:tc>
        <w:tc>
          <w:tcPr>
            <w:tcW w:type="dxa" w:w="216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Búsqueda simétrica en Scopus y WoS Core Collection con ecuación calibrada libre de polisemia.</w:t>
            </w:r>
          </w:p>
        </w:tc>
      </w:tr>
      <w:tr>
        <w:trPr>
          <w:cantSplit/>
        </w:trPr>
        <w:tc>
          <w:tcPr>
            <w:tcW w:type="dxa" w:w="115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Sesgo de Publicación</w:t>
            </w:r>
          </w:p>
        </w:tc>
        <w:tc>
          <w:tcPr>
            <w:tcW w:type="dxa" w:w="158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Predominancia de literatura que reporta solo resultados favorables.</w:t>
            </w:r>
          </w:p>
        </w:tc>
        <w:tc>
          <w:tcPr>
            <w:tcW w:type="dxa" w:w="216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Inclusión de artículos con reportes de limitaciones en escaneos con ruido y layouts complejos.</w:t>
            </w:r>
          </w:p>
        </w:tc>
      </w:tr>
      <w:tr>
        <w:trPr>
          <w:cantSplit/>
        </w:trPr>
        <w:tc>
          <w:tcPr>
            <w:tcW w:type="dxa" w:w="115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Sesgo del Evaluador</w:t>
            </w:r>
          </w:p>
        </w:tc>
        <w:tc>
          <w:tcPr>
            <w:tcW w:type="dxa" w:w="158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Subjetividad individual durante el cribado y control QA.</w:t>
            </w:r>
          </w:p>
        </w:tc>
        <w:tc>
          <w:tcPr>
            <w:tcW w:type="dxa" w:w="216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Evaluación en doble ciego independiente con medición Kappa (κ = 0.88 en cribado, κ = 0.92 en texto completo).</w:t>
            </w:r>
          </w:p>
        </w:tc>
      </w:tr>
      <w:tr>
        <w:trPr>
          <w:cantSplit/>
        </w:trPr>
        <w:tc>
          <w:tcPr>
            <w:tcW w:type="dxa" w:w="1152"/>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Validez de Constructo</w:t>
            </w:r>
          </w:p>
        </w:tc>
        <w:tc>
          <w:tcPr>
            <w:tcW w:type="dxa" w:w="1584"/>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Desalineación entre términos de búsqueda y conceptos reales.</w:t>
            </w:r>
          </w:p>
        </w:tc>
        <w:tc>
          <w:tcPr>
            <w:tcW w:type="dxa" w:w="2160"/>
            <w:tcMar>
              <w:top w:w="40" w:type="dxa"/>
              <w:bottom w:w="40" w:type="dxa"/>
              <w:left w:w="60" w:type="dxa"/>
              <w:right w:w="60" w:type="dxa"/>
            </w:tcMar>
            <w:tcBorders>
              <w:top w:val="single" w:sz="4" w:space="0" w:color="CCCCCC"/>
              <w:bottom w:val="single" w:sz="4" w:space="0" w:color="CCCCCC"/>
              <w:left w:val="none"/>
              <w:right w:val="none"/>
            </w:tcBorders>
          </w:tcPr>
          <w:p>
            <w:pPr>
              <w:spacing w:line="240" w:lineRule="auto" w:before="20" w:after="20"/>
              <w:jc w:val="left"/>
            </w:pPr>
            <w:r>
              <w:rPr>
                <w:rFonts w:ascii="Times New Roman" w:hAnsi="Times New Roman"/>
                <w:sz w:val="15"/>
              </w:rPr>
              <w:t>Derivación rigurosa desde la matriz PICOC e incorporación de sinónimos técnicos (KIE, VRD, LayoutLM).</w:t>
            </w:r>
          </w:p>
        </w:tc>
      </w:tr>
    </w:tbl>
    <w:p>
      <w:pPr>
        <w:keepNext/>
        <w:spacing w:before="200" w:after="60"/>
        <w:jc w:val="center"/>
      </w:pPr>
      <w:r>
        <w:rPr>
          <w:b/>
          <w:sz w:val="19"/>
        </w:rPr>
        <w:t>XI. REFERENCIAS BIBLIOGRÁFICAS</w:t>
      </w:r>
    </w:p>
    <w:p>
      <w:pPr>
        <w:spacing w:line="240" w:lineRule="auto" w:before="0" w:after="40"/>
        <w:ind w:left="432" w:hanging="432"/>
        <w:jc w:val="both"/>
      </w:pPr>
      <w:r>
        <w:rPr>
          <w:b/>
          <w:sz w:val="16"/>
        </w:rPr>
        <w:t xml:space="preserve">[1] </w:t>
      </w:r>
      <w:r>
        <w:rPr>
          <w:sz w:val="16"/>
        </w:rPr>
        <w:t>B. Kitchenham and S. Charters, 'Guidelines for performing Systematic Literature Reviews in Software Engineering,' Keele Univ. and Durham Univ., Tech. Rep. EBSE 2007-001, 2007.</w:t>
      </w:r>
    </w:p>
    <w:p>
      <w:pPr>
        <w:spacing w:line="240" w:lineRule="auto" w:before="0" w:after="40"/>
        <w:ind w:left="432" w:hanging="432"/>
        <w:jc w:val="both"/>
      </w:pPr>
      <w:r>
        <w:rPr>
          <w:b/>
          <w:sz w:val="16"/>
        </w:rPr>
        <w:t xml:space="preserve">[2] </w:t>
      </w:r>
      <w:r>
        <w:rPr>
          <w:sz w:val="16"/>
        </w:rPr>
        <w:t>M. J. Page et al., 'The PRISMA 2020 statement: an updated guideline for reporting systematic reviews,' BMJ, vol. 372, p. n71, 2021.</w:t>
      </w:r>
    </w:p>
    <w:p>
      <w:pPr>
        <w:spacing w:line="240" w:lineRule="auto" w:before="0" w:after="40"/>
        <w:ind w:left="432" w:hanging="432"/>
        <w:jc w:val="both"/>
      </w:pPr>
      <w:r>
        <w:rPr>
          <w:b/>
          <w:sz w:val="16"/>
        </w:rPr>
        <w:t xml:space="preserve">[3] </w:t>
      </w:r>
      <w:r>
        <w:rPr>
          <w:sz w:val="16"/>
        </w:rPr>
        <w:t>Wei, JX; Xu, N; Chang, GY; Luo, Y; Yu, BH; Guo, RF, "mChartQA and mChartQABench: A multimodal-only solution for complex chart question-answering," PATTERN RECOGNITION, 2026, doi: 10.1016/j.patcog.2025.112348.</w:t>
      </w:r>
    </w:p>
    <w:p>
      <w:pPr>
        <w:spacing w:line="240" w:lineRule="auto" w:before="0" w:after="40"/>
        <w:ind w:left="432" w:hanging="432"/>
        <w:jc w:val="both"/>
      </w:pPr>
      <w:r>
        <w:rPr>
          <w:b/>
          <w:sz w:val="16"/>
        </w:rPr>
        <w:t xml:space="preserve">[4] </w:t>
      </w:r>
      <w:r>
        <w:rPr>
          <w:sz w:val="16"/>
        </w:rPr>
        <w:t>Chen L.-C.; Weng H.-T.; Pardeshi M.S.; Chen C.-M.; Sheu R.-K.; Pai K.-C., "Evaluation of Prompt Engineering on the Performance of a Large Language Model in Document Information Extraction," Electronics (Switzerland), 2025, doi: 10.3390/electronics14112145.</w:t>
      </w:r>
    </w:p>
    <w:p>
      <w:pPr>
        <w:spacing w:line="240" w:lineRule="auto" w:before="0" w:after="40"/>
        <w:ind w:left="432" w:hanging="432"/>
        <w:jc w:val="both"/>
      </w:pPr>
      <w:r>
        <w:rPr>
          <w:b/>
          <w:sz w:val="16"/>
        </w:rPr>
        <w:t xml:space="preserve">[5] </w:t>
      </w:r>
      <w:r>
        <w:rPr>
          <w:sz w:val="16"/>
        </w:rPr>
        <w:t>Ali Khandokar I.; Deshpande P., "Computer Vision-Based Framework for Data Extraction From Heterogeneous Financial Tables: A Comprehensive Approach to Unlocking Financial Insights," IEEE Access, 2025, doi: 10.1109/access.2024.3522141.</w:t>
      </w:r>
    </w:p>
    <w:p>
      <w:pPr>
        <w:spacing w:line="240" w:lineRule="auto" w:before="0" w:after="40"/>
        <w:ind w:left="432" w:hanging="432"/>
        <w:jc w:val="both"/>
      </w:pPr>
      <w:r>
        <w:rPr>
          <w:b/>
          <w:sz w:val="16"/>
        </w:rPr>
        <w:t xml:space="preserve">[6] </w:t>
      </w:r>
      <w:r>
        <w:rPr>
          <w:sz w:val="16"/>
        </w:rPr>
        <w:t>Mifsud X.; Grech L.; Baldacchino A.; Keller L.; Valentino G.; Muscat A., "Receipt Information Extraction with Joint Multi-Modal Transformer and Rule-Based Model," Machine Learning and Knowledge Extraction, 2025, doi: 10.3390/make7040167.</w:t>
      </w:r>
    </w:p>
    <w:p>
      <w:pPr>
        <w:spacing w:line="240" w:lineRule="auto" w:before="0" w:after="40"/>
        <w:ind w:left="432" w:hanging="432"/>
        <w:jc w:val="both"/>
      </w:pPr>
      <w:r>
        <w:rPr>
          <w:b/>
          <w:sz w:val="16"/>
        </w:rPr>
        <w:t xml:space="preserve">[7] </w:t>
      </w:r>
      <w:r>
        <w:rPr>
          <w:sz w:val="16"/>
        </w:rPr>
        <w:t>Yu J.-M.; Ma H.-J.; Kong J.-L., "Receipt Recognition Technology Driven by Multimodal Alignment and Lightweight Sequence Modeling," Electronics (Switzerland), 2025, doi: 10.3390/electronics14091717.</w:t>
      </w:r>
    </w:p>
    <w:p>
      <w:pPr>
        <w:spacing w:line="240" w:lineRule="auto" w:before="0" w:after="40"/>
        <w:ind w:left="432" w:hanging="432"/>
        <w:jc w:val="both"/>
      </w:pPr>
      <w:r>
        <w:rPr>
          <w:b/>
          <w:sz w:val="16"/>
        </w:rPr>
        <w:t xml:space="preserve">[8] </w:t>
      </w:r>
      <w:r>
        <w:rPr>
          <w:sz w:val="16"/>
        </w:rPr>
        <w:t>Sassioui A.; Elouargui Y.; El Kamili M.; Benouini R.; Mehdi Benyoussef E.; Chergui M.; Ouzzif M., "LMGDoc: Light Multigranular GNN for Efficient Document Understanding," IEEE Access, 2025, doi: 10.1109/access.2025.3568628.</w:t>
      </w:r>
    </w:p>
    <w:p>
      <w:pPr>
        <w:spacing w:line="240" w:lineRule="auto" w:before="0" w:after="40"/>
        <w:ind w:left="432" w:hanging="432"/>
        <w:jc w:val="both"/>
      </w:pPr>
      <w:r>
        <w:rPr>
          <w:b/>
          <w:sz w:val="16"/>
        </w:rPr>
        <w:t xml:space="preserve">[9] </w:t>
      </w:r>
      <w:r>
        <w:rPr>
          <w:sz w:val="16"/>
        </w:rPr>
        <w:t>Luo C.; Tang G.; Zheng Q.; Yao C.; Jin L.; Li C.; Xue Y.; Si L., "Bi-VLDoc: bidirectional vision-language modeling for visually-rich document understanding," International Journal on Document Analysis and Recognition, 2025, doi: 10.1007/s10032-025-00518-w.</w:t>
      </w:r>
    </w:p>
    <w:p>
      <w:pPr>
        <w:spacing w:line="240" w:lineRule="auto" w:before="0" w:after="40"/>
        <w:ind w:left="432" w:hanging="432"/>
        <w:jc w:val="both"/>
      </w:pPr>
      <w:r>
        <w:rPr>
          <w:b/>
          <w:sz w:val="16"/>
        </w:rPr>
        <w:t xml:space="preserve">[10] </w:t>
      </w:r>
      <w:r>
        <w:rPr>
          <w:sz w:val="16"/>
        </w:rPr>
        <w:t>Tiwari D.; Gupta A.; Soni R., "DNN-HHOA: Deep Neural Network Optimization-Based Tabular Data Extraction from Compound Document Images," International Journal of Image and Graphics, 2025, doi: 10.1142/s021946782550010x.</w:t>
      </w:r>
    </w:p>
    <w:p>
      <w:pPr>
        <w:spacing w:line="240" w:lineRule="auto" w:before="0" w:after="40"/>
        <w:ind w:left="432" w:hanging="432"/>
        <w:jc w:val="both"/>
      </w:pPr>
      <w:r>
        <w:rPr>
          <w:b/>
          <w:sz w:val="16"/>
        </w:rPr>
        <w:t xml:space="preserve">[11] </w:t>
      </w:r>
      <w:r>
        <w:rPr>
          <w:sz w:val="16"/>
        </w:rPr>
        <w:t>Xiao B.; Simsek M.; Kantarci B.; Alkheir A.A., "Rethinking detection based table structure recognition for visually rich document images," Expert Systems with Applications, 2025, doi: 10.1016/j.eswa.2025.126461.</w:t>
      </w:r>
    </w:p>
    <w:p>
      <w:pPr>
        <w:spacing w:line="240" w:lineRule="auto" w:before="0" w:after="40"/>
        <w:ind w:left="432" w:hanging="432"/>
        <w:jc w:val="both"/>
      </w:pPr>
      <w:r>
        <w:rPr>
          <w:b/>
          <w:sz w:val="16"/>
        </w:rPr>
        <w:t xml:space="preserve">[12] </w:t>
      </w:r>
      <w:r>
        <w:rPr>
          <w:sz w:val="16"/>
        </w:rPr>
        <w:t>Iqbal M.Z.; Garg N.; Ahmed S.B., "Table Extraction with Table Data Using VGG-19 Deep Learning Model," Sensors, 2025, doi: 10.3390/s25010203.</w:t>
      </w:r>
    </w:p>
    <w:p>
      <w:pPr>
        <w:spacing w:line="240" w:lineRule="auto" w:before="0" w:after="40"/>
        <w:ind w:left="432" w:hanging="432"/>
        <w:jc w:val="both"/>
      </w:pPr>
      <w:r>
        <w:rPr>
          <w:b/>
          <w:sz w:val="16"/>
        </w:rPr>
        <w:t xml:space="preserve">[13] </w:t>
      </w:r>
      <w:r>
        <w:rPr>
          <w:sz w:val="16"/>
        </w:rPr>
        <w:t>Wang Y.; Lv W.; Wu W.; Xie G.; Lu B.; Wang C.; Zhan C.; Su B., "TransTab: A transformer-based approach for table detection and tabular data extraction from scanned document images," Machine Learning with Applications, 2025, doi: 10.1016/j.mlwa.2025.100665.</w:t>
      </w:r>
    </w:p>
    <w:p>
      <w:pPr>
        <w:spacing w:line="240" w:lineRule="auto" w:before="0" w:after="40"/>
        <w:ind w:left="432" w:hanging="432"/>
        <w:jc w:val="both"/>
      </w:pPr>
      <w:r>
        <w:rPr>
          <w:b/>
          <w:sz w:val="16"/>
        </w:rPr>
        <w:t xml:space="preserve">[14] </w:t>
      </w:r>
      <w:r>
        <w:rPr>
          <w:sz w:val="16"/>
        </w:rPr>
        <w:t>Gonçalves Lima V.; Alves Pereira D., "UFLA-FORMS: an academic forms dataset for information extraction in the Portuguese language," Language Resources and Evaluation, 2025, doi: 10.1007/s10579-024-09802-3.</w:t>
      </w:r>
    </w:p>
    <w:p>
      <w:pPr>
        <w:spacing w:line="240" w:lineRule="auto" w:before="0" w:after="40"/>
        <w:ind w:left="432" w:hanging="432"/>
        <w:jc w:val="both"/>
      </w:pPr>
      <w:r>
        <w:rPr>
          <w:b/>
          <w:sz w:val="16"/>
        </w:rPr>
        <w:t xml:space="preserve">[15] </w:t>
      </w:r>
      <w:r>
        <w:rPr>
          <w:sz w:val="16"/>
        </w:rPr>
        <w:t>Alsayed A.; Li C.; Abdalsalam M.; Fat’hAlalim A., "A hybrid model for Arabic character recognition using CNN and Kolmogorov Arnold Networks (KANs)," Multimedia Tools and Applications, 2025, doi: 10.1007/s11042-025-20934-8.</w:t>
      </w:r>
    </w:p>
    <w:p>
      <w:pPr>
        <w:spacing w:line="240" w:lineRule="auto" w:before="0" w:after="40"/>
        <w:ind w:left="432" w:hanging="432"/>
        <w:jc w:val="both"/>
      </w:pPr>
      <w:r>
        <w:rPr>
          <w:b/>
          <w:sz w:val="16"/>
        </w:rPr>
        <w:t xml:space="preserve">[16] </w:t>
      </w:r>
      <w:r>
        <w:rPr>
          <w:sz w:val="16"/>
        </w:rPr>
        <w:t>Saeed B.; Muhammad S.; Ullah K.; Namoun A.; Khan A.; Syed I.; Ullah S.S.; Hussain I., "Deep Learning-Based Detection of One and Two-Column Textual Blocks in Camera-Captured Pashto Documents Images," IEEE Access, 2025, doi: 10.1109/access.2025.3531713.</w:t>
      </w:r>
    </w:p>
    <w:p>
      <w:pPr>
        <w:spacing w:line="240" w:lineRule="auto" w:before="0" w:after="40"/>
        <w:ind w:left="432" w:hanging="432"/>
        <w:jc w:val="both"/>
      </w:pPr>
      <w:r>
        <w:rPr>
          <w:b/>
          <w:sz w:val="16"/>
        </w:rPr>
        <w:t xml:space="preserve">[17] </w:t>
      </w:r>
      <w:r>
        <w:rPr>
          <w:sz w:val="16"/>
        </w:rPr>
        <w:t>Abdalla M.; Kasem M.S.; Mahmoud M.; Yagoub B.; Senussi M.F.; Abdallah A.; Hun Kang S.; Kang H.S., "ReceiptQA: A Question-Answering Dataset for Receipt Understanding," Mathematics, 2025, doi: 10.3390/math13111760.</w:t>
      </w:r>
    </w:p>
    <w:p>
      <w:pPr>
        <w:spacing w:line="240" w:lineRule="auto" w:before="0" w:after="40"/>
        <w:ind w:left="432" w:hanging="432"/>
        <w:jc w:val="both"/>
      </w:pPr>
      <w:r>
        <w:rPr>
          <w:b/>
          <w:sz w:val="16"/>
        </w:rPr>
        <w:t xml:space="preserve">[18] </w:t>
      </w:r>
      <w:r>
        <w:rPr>
          <w:sz w:val="16"/>
        </w:rPr>
        <w:t>Zhang L.; Wang Y.; Yang N.; Jiang B., "Res-THL: multimodal pre-training models for document understanding," International Journal of Wireless and Mobile Computing, 2025, doi: 10.1504/ijwmc.2025.148584.</w:t>
      </w:r>
    </w:p>
    <w:p>
      <w:pPr>
        <w:spacing w:line="240" w:lineRule="auto" w:before="0" w:after="40"/>
        <w:ind w:left="432" w:hanging="432"/>
        <w:jc w:val="both"/>
      </w:pPr>
      <w:r>
        <w:rPr>
          <w:b/>
          <w:sz w:val="16"/>
        </w:rPr>
        <w:t xml:space="preserve">[19] </w:t>
      </w:r>
      <w:r>
        <w:rPr>
          <w:sz w:val="16"/>
        </w:rPr>
        <w:t>Hu R.; Yang Y.; Liu S.; Li Z.; Liu J.; Ding X.; Sun H.; Ren L., "Large language model driven transferable key information extraction mechanism for nonstandardized tables," Scientific Reports, 2025, doi: 10.1038/s41598-025-15627-z.</w:t>
      </w:r>
    </w:p>
    <w:p>
      <w:pPr>
        <w:spacing w:line="240" w:lineRule="auto" w:before="0" w:after="40"/>
        <w:ind w:left="432" w:hanging="432"/>
        <w:jc w:val="both"/>
      </w:pPr>
      <w:r>
        <w:rPr>
          <w:b/>
          <w:sz w:val="16"/>
        </w:rPr>
        <w:t xml:space="preserve">[20] </w:t>
      </w:r>
      <w:r>
        <w:rPr>
          <w:sz w:val="16"/>
        </w:rPr>
        <w:t>Yang X., "Financial fraud identification and economic impact analysis based on machine vision technology," Journal of Computational Methods in Sciences and Engineering, 2025, doi: 10.1177/14727978251346036.</w:t>
      </w:r>
    </w:p>
    <w:p>
      <w:pPr>
        <w:spacing w:line="240" w:lineRule="auto" w:before="0" w:after="40"/>
        <w:ind w:left="432" w:hanging="432"/>
        <w:jc w:val="both"/>
      </w:pPr>
      <w:r>
        <w:rPr>
          <w:b/>
          <w:sz w:val="16"/>
        </w:rPr>
        <w:t xml:space="preserve">[21] </w:t>
      </w:r>
      <w:r>
        <w:rPr>
          <w:sz w:val="16"/>
        </w:rPr>
        <w:t>Zingerenko M.; Limonova E.; Arlazarov V.V., "Template-based text field segmentation for ID documents using dynamic squeezeboxes packing," Multimedia Tools and Applications, 2025, doi: 10.1007/s11042-024-20162-6.</w:t>
      </w:r>
    </w:p>
    <w:p>
      <w:pPr>
        <w:spacing w:line="240" w:lineRule="auto" w:before="0" w:after="40"/>
        <w:ind w:left="432" w:hanging="432"/>
        <w:jc w:val="both"/>
      </w:pPr>
      <w:r>
        <w:rPr>
          <w:b/>
          <w:sz w:val="16"/>
        </w:rPr>
        <w:t xml:space="preserve">[22] </w:t>
      </w:r>
      <w:r>
        <w:rPr>
          <w:sz w:val="16"/>
        </w:rPr>
        <w:t>Tanasa A.-M.; Oprea S.-V., "Rethinking Chart Understanding Using Multimodal Large Language Models," Computers, Materials and Continua, 2025, doi: 10.32604/cmc.2025.065421.</w:t>
      </w:r>
    </w:p>
    <w:p>
      <w:pPr>
        <w:spacing w:line="240" w:lineRule="auto" w:before="0" w:after="40"/>
        <w:ind w:left="432" w:hanging="432"/>
        <w:jc w:val="both"/>
      </w:pPr>
      <w:r>
        <w:rPr>
          <w:b/>
          <w:sz w:val="16"/>
        </w:rPr>
        <w:t xml:space="preserve">[23] </w:t>
      </w:r>
      <w:r>
        <w:rPr>
          <w:sz w:val="16"/>
        </w:rPr>
        <w:t>Mao Q.; Li J.; Zhou H.; Kar P.; Bellotti A.G., "ALDII: Adaptive Learning-based Document Image Inpainting to enhance the handwritten Chinese character legibility of human and machine," Neurocomputing, 2025, doi: 10.1016/j.neucom.2024.128897.</w:t>
      </w:r>
    </w:p>
    <w:p>
      <w:pPr>
        <w:spacing w:line="240" w:lineRule="auto" w:before="0" w:after="40"/>
        <w:ind w:left="432" w:hanging="432"/>
        <w:jc w:val="both"/>
      </w:pPr>
      <w:r>
        <w:rPr>
          <w:b/>
          <w:sz w:val="16"/>
        </w:rPr>
        <w:t xml:space="preserve">[24] </w:t>
      </w:r>
      <w:r>
        <w:rPr>
          <w:sz w:val="16"/>
        </w:rPr>
        <w:t>Jeong Y.-B.; Seo H.-I.; Kim Y.-H.; Kim W.-Y., "Retrieval-augmented visual parcel invoice understanding transformer for address correction," Engineering Applications of Artificial Intelligence, 2025, doi: 10.1016/j.engappai.2025.111542.</w:t>
      </w:r>
    </w:p>
    <w:p>
      <w:pPr>
        <w:spacing w:line="240" w:lineRule="auto" w:before="0" w:after="40"/>
        <w:ind w:left="432" w:hanging="432"/>
        <w:jc w:val="both"/>
      </w:pPr>
      <w:r>
        <w:rPr>
          <w:b/>
          <w:sz w:val="16"/>
        </w:rPr>
        <w:t xml:space="preserve">[25] </w:t>
      </w:r>
      <w:r>
        <w:rPr>
          <w:sz w:val="16"/>
        </w:rPr>
        <w:t>Levich S.; Knust L., "Discriminative meets generative: Automated information retrieval from unstructured corporate documents via (large) language models," International Journal of Accounting Information Systems, 2025, doi: 10.1016/j.accinf.2025.100750.</w:t>
      </w:r>
    </w:p>
    <w:p>
      <w:pPr>
        <w:spacing w:line="240" w:lineRule="auto" w:before="0" w:after="40"/>
        <w:ind w:left="432" w:hanging="432"/>
        <w:jc w:val="both"/>
      </w:pPr>
      <w:r>
        <w:rPr>
          <w:b/>
          <w:sz w:val="16"/>
        </w:rPr>
        <w:t xml:space="preserve">[26] </w:t>
      </w:r>
      <w:r>
        <w:rPr>
          <w:sz w:val="16"/>
        </w:rPr>
        <w:t>Zhang W.; Zheng Y.; Chen J., "Multimodal Information Extraction From Visually Rich Documents With Adaptive Graph Integration Network," IEEE Access, 2025, doi: 10.1109/access.2025.3619974.</w:t>
      </w:r>
    </w:p>
    <w:p>
      <w:pPr>
        <w:spacing w:line="240" w:lineRule="auto" w:before="0" w:after="40"/>
        <w:ind w:left="432" w:hanging="432"/>
        <w:jc w:val="both"/>
      </w:pPr>
      <w:r>
        <w:rPr>
          <w:b/>
          <w:sz w:val="16"/>
        </w:rPr>
        <w:t xml:space="preserve">[27] </w:t>
      </w:r>
      <w:r>
        <w:rPr>
          <w:sz w:val="16"/>
        </w:rPr>
        <w:t>Lin, YM; Hasan, M; Kosalge, R; Cheung, A; Parameswaran, AG, "Visual Template Inference for Data Extraction from Documents," PROCEEDINGS OF THE ACM ON MANAGEMENT OF DATA, 2025, doi: 10.1145/3769840.</w:t>
      </w:r>
    </w:p>
    <w:p>
      <w:pPr>
        <w:spacing w:line="240" w:lineRule="auto" w:before="0" w:after="40"/>
        <w:ind w:left="432" w:hanging="432"/>
        <w:jc w:val="both"/>
      </w:pPr>
      <w:r>
        <w:rPr>
          <w:b/>
          <w:sz w:val="16"/>
        </w:rPr>
        <w:t xml:space="preserve">[28] </w:t>
      </w:r>
      <w:r>
        <w:rPr>
          <w:sz w:val="16"/>
        </w:rPr>
        <w:t>Liu Z., "Accounting-Oriented Research on Note Recognition Model based on Information Extraction Algorithm," WSEAS Transactions on Business and Economics, 2024, doi: 10.37394/23207.2024.21.216.</w:t>
      </w:r>
    </w:p>
    <w:p>
      <w:pPr>
        <w:spacing w:line="240" w:lineRule="auto" w:before="0" w:after="40"/>
        <w:ind w:left="432" w:hanging="432"/>
        <w:jc w:val="both"/>
      </w:pPr>
      <w:r>
        <w:rPr>
          <w:b/>
          <w:sz w:val="16"/>
        </w:rPr>
        <w:t xml:space="preserve">[29] </w:t>
      </w:r>
      <w:r>
        <w:rPr>
          <w:sz w:val="16"/>
        </w:rPr>
        <w:t>Yao M.; Liu Z.; Zhuang L.; Wang L.; Li H., "A Robust Framework for One-Shot Key Information Extraction via Deep Partial Graph Matching," IEEE Transactions on Image Processing, 2024, doi: 10.1109/tip.2024.3357251.</w:t>
      </w:r>
    </w:p>
    <w:p>
      <w:pPr>
        <w:spacing w:line="240" w:lineRule="auto" w:before="0" w:after="40"/>
        <w:ind w:left="432" w:hanging="432"/>
        <w:jc w:val="both"/>
      </w:pPr>
      <w:r>
        <w:rPr>
          <w:b/>
          <w:sz w:val="16"/>
        </w:rPr>
        <w:t xml:space="preserve">[30] </w:t>
      </w:r>
      <w:r>
        <w:rPr>
          <w:sz w:val="16"/>
        </w:rPr>
        <w:t>Zhou H.; Shao L.; Zhang H., "SRRNet: A Transformer Structure with Adaptive 2-D Spatial Attention Mechanism for Cell Phone-Captured Shopping Receipt Recognition," IEEE Transactions on Consumer Electronics, 2024, doi: 10.1109/tce.2022.3229438.</w:t>
      </w:r>
    </w:p>
    <w:p>
      <w:pPr>
        <w:spacing w:line="240" w:lineRule="auto" w:before="0" w:after="40"/>
        <w:ind w:left="432" w:hanging="432"/>
        <w:jc w:val="both"/>
      </w:pPr>
      <w:r>
        <w:rPr>
          <w:b/>
          <w:sz w:val="16"/>
        </w:rPr>
        <w:t xml:space="preserve">[31] </w:t>
      </w:r>
      <w:r>
        <w:rPr>
          <w:sz w:val="16"/>
        </w:rPr>
        <w:t>Tiwari D.; Gupta A., "Table structure recognition using black widow based mutual exclusion and RESNET attention model," Journal of Intelligent and Fuzzy Systems, 2024, doi: 10.3233/jifs-232646.</w:t>
      </w:r>
    </w:p>
    <w:p>
      <w:pPr>
        <w:spacing w:line="240" w:lineRule="auto" w:before="0" w:after="40"/>
        <w:ind w:left="432" w:hanging="432"/>
        <w:jc w:val="both"/>
      </w:pPr>
      <w:r>
        <w:rPr>
          <w:b/>
          <w:sz w:val="16"/>
        </w:rPr>
        <w:t xml:space="preserve">[32] </w:t>
      </w:r>
      <w:r>
        <w:rPr>
          <w:sz w:val="16"/>
        </w:rPr>
        <w:t>Jia M.; Yu W.; Ma K.; Fang T.; Li C., "Leopard: A Vision Language Model for Text-Rich Multi-Image Tasks," Transactions on Machine Learning Research, 2025, doi: 10.48550/arxiv.2410.01744.</w:t>
      </w:r>
    </w:p>
    <w:p>
      <w:pPr>
        <w:spacing w:line="240" w:lineRule="auto" w:before="0" w:after="40"/>
        <w:ind w:left="432" w:hanging="432"/>
        <w:jc w:val="both"/>
      </w:pPr>
      <w:r>
        <w:rPr>
          <w:b/>
          <w:sz w:val="16"/>
        </w:rPr>
        <w:t xml:space="preserve">[33] </w:t>
      </w:r>
      <w:r>
        <w:rPr>
          <w:sz w:val="16"/>
        </w:rPr>
        <w:t>Gemelli A.; Marinai S.; Pisaneschi L.; Santoni F., "Datasets and annotations for layout analysis of scientific articles," International Journal on Document Analysis and Recognition, 2024, doi: 10.1007/s10032-024-00461-2.</w:t>
      </w:r>
    </w:p>
    <w:p>
      <w:pPr>
        <w:spacing w:line="240" w:lineRule="auto" w:before="0" w:after="40"/>
        <w:ind w:left="432" w:hanging="432"/>
        <w:jc w:val="both"/>
      </w:pPr>
      <w:r>
        <w:rPr>
          <w:b/>
          <w:sz w:val="16"/>
        </w:rPr>
        <w:t xml:space="preserve">[34] </w:t>
      </w:r>
      <w:r>
        <w:rPr>
          <w:sz w:val="16"/>
        </w:rPr>
        <w:t>Guo P.; Song Y.; Deng Y.; Xie K.-K.; Xu M.; Liu J.; Ren H., "DCMAI: A Dynamical Cross-Modal Alignment Interaction Framework for Document Key Information Extraction," IEEE Transactions on Circuits and Systems for Video Technology, 2024, doi: 10.1109/tcsvt.2023.3287296.</w:t>
      </w:r>
    </w:p>
    <w:p>
      <w:pPr>
        <w:spacing w:line="240" w:lineRule="auto" w:before="0" w:after="40"/>
        <w:ind w:left="432" w:hanging="432"/>
        <w:jc w:val="both"/>
      </w:pPr>
      <w:r>
        <w:rPr>
          <w:b/>
          <w:sz w:val="16"/>
        </w:rPr>
        <w:t xml:space="preserve">[35] </w:t>
      </w:r>
      <w:r>
        <w:rPr>
          <w:sz w:val="16"/>
        </w:rPr>
        <w:t>Fernandes J.; Xiao B.; Simsek M.; Kantarci B.; Khan S.; Alkheir A.A., "TableStrRec: framework for table structure recognition in data sheet images," International Journal on Document Analysis and Recognition, 2024, doi: 10.1007/s10032-023-00453-8.</w:t>
      </w:r>
    </w:p>
    <w:p>
      <w:pPr>
        <w:spacing w:line="240" w:lineRule="auto" w:before="0" w:after="40"/>
        <w:ind w:left="432" w:hanging="432"/>
        <w:jc w:val="both"/>
      </w:pPr>
      <w:r>
        <w:rPr>
          <w:b/>
          <w:sz w:val="16"/>
        </w:rPr>
        <w:t xml:space="preserve">[36] </w:t>
      </w:r>
      <w:r>
        <w:rPr>
          <w:sz w:val="16"/>
        </w:rPr>
        <w:t>Luo S.; Yu J., "SGFNet: A semantic graph-based multimodal network for financial invoice information extraction," Expert Systems with Applications, 2024, doi: 10.1016/j.eswa.2024.125156.</w:t>
      </w:r>
    </w:p>
    <w:p>
      <w:pPr>
        <w:spacing w:line="240" w:lineRule="auto" w:before="0" w:after="40"/>
        <w:ind w:left="432" w:hanging="432"/>
        <w:jc w:val="both"/>
      </w:pPr>
      <w:r>
        <w:rPr>
          <w:b/>
          <w:sz w:val="16"/>
        </w:rPr>
        <w:t xml:space="preserve">[37] </w:t>
      </w:r>
      <w:r>
        <w:rPr>
          <w:sz w:val="16"/>
        </w:rPr>
        <w:t>Chen Z.; Wang W.; Tian H.; Ye S.; Gao Z.; Cui E.; Tong W.; Hu K.; Luo J.; Ma Z.; Ma J.; Wang J.; Dong X.; Yan H.; Guo H.; He C.; Shi B.; Jin Z.; Xu C.; Wang B.; Wei X.; Li W.; Zhang W.; Zhang B.; Cai P.; Wen L.; Yan X.; Dou M.; Lu L.; Zhu X.; Lu T.; Lin D.; Qiao Y.; Dai J.; Wang W., "How far are we to GPT-4V? Closing the gap to commercial multimodal models with open-source suites," Science China Information Sciences, 2024, doi: 10.1007/s11432-024-4231-5.</w:t>
      </w:r>
    </w:p>
    <w:p>
      <w:pPr>
        <w:spacing w:line="240" w:lineRule="auto" w:before="0" w:after="40"/>
        <w:ind w:left="432" w:hanging="432"/>
        <w:jc w:val="both"/>
      </w:pPr>
      <w:r>
        <w:rPr>
          <w:b/>
          <w:sz w:val="16"/>
        </w:rPr>
        <w:t xml:space="preserve">[38] </w:t>
      </w:r>
      <w:r>
        <w:rPr>
          <w:sz w:val="16"/>
        </w:rPr>
        <w:t>Gbada H.; Kalti K.; Mahjoub M.A., "Multimodal weighted graph representation for information extraction from visually rich documents," Neurocomputing, 2024, doi: 10.1016/j.neucom.2023.127223.</w:t>
      </w:r>
    </w:p>
    <w:p>
      <w:pPr>
        <w:spacing w:line="240" w:lineRule="auto" w:before="0" w:after="40"/>
        <w:ind w:left="432" w:hanging="432"/>
        <w:jc w:val="both"/>
      </w:pPr>
      <w:r>
        <w:rPr>
          <w:b/>
          <w:sz w:val="16"/>
        </w:rPr>
        <w:t xml:space="preserve">[39] </w:t>
      </w:r>
      <w:r>
        <w:rPr>
          <w:sz w:val="16"/>
        </w:rPr>
        <w:t>Hertlein F.; Naumann A.; Philipp P., "Inv3D: a high-resolution 3D invoice dataset for template-guided single-image document unwarping," International Journal on Document Analysis and Recognition, 2023, doi: 10.1007/s10032-023-00434-x.</w:t>
      </w:r>
    </w:p>
    <w:p>
      <w:pPr>
        <w:spacing w:line="240" w:lineRule="auto" w:before="0" w:after="40"/>
        <w:ind w:left="432" w:hanging="432"/>
        <w:jc w:val="both"/>
      </w:pPr>
      <w:r>
        <w:rPr>
          <w:b/>
          <w:sz w:val="16"/>
        </w:rPr>
        <w:t xml:space="preserve">[40] </w:t>
      </w:r>
      <w:r>
        <w:rPr>
          <w:sz w:val="16"/>
        </w:rPr>
        <w:t>Nguyen-Trong K.; Trinh T., "Information extraction from Visually Rich Documents using graph convolutional network," Journal of Intelligent and Fuzzy Systems, 2023, doi: 10.3233/jifs-230204.</w:t>
      </w:r>
    </w:p>
    <w:p>
      <w:pPr>
        <w:spacing w:line="240" w:lineRule="auto" w:before="0" w:after="40"/>
        <w:ind w:left="432" w:hanging="432"/>
        <w:jc w:val="both"/>
      </w:pPr>
      <w:r>
        <w:rPr>
          <w:b/>
          <w:sz w:val="16"/>
        </w:rPr>
        <w:t xml:space="preserve">[41] </w:t>
      </w:r>
      <w:r>
        <w:rPr>
          <w:sz w:val="16"/>
        </w:rPr>
        <w:t>Ma C.; Lin W.; Sun L.; Huo Q., "Robust Table Detection and Structure Recognition from Heterogeneous Document Images," Pattern Recognition, 2023, doi: 10.1016/j.patcog.2022.109006.</w:t>
      </w:r>
    </w:p>
    <w:p>
      <w:pPr>
        <w:spacing w:line="240" w:lineRule="auto" w:before="0" w:after="40"/>
        <w:ind w:left="432" w:hanging="432"/>
        <w:jc w:val="both"/>
      </w:pPr>
      <w:r>
        <w:rPr>
          <w:b/>
          <w:sz w:val="16"/>
        </w:rPr>
        <w:t xml:space="preserve">[42] </w:t>
      </w:r>
      <w:r>
        <w:rPr>
          <w:sz w:val="16"/>
        </w:rPr>
        <w:t>Cho S.; Moon J.; Bae J.; Kang J.; Lee S., "A Framework for Understanding Unstructured Financial Documents Using RPA and Multimodal Approach," Electronics (Switzerland), 2023, doi: 10.3390/electronics12040939.</w:t>
      </w:r>
    </w:p>
    <w:p>
      <w:pPr>
        <w:spacing w:line="240" w:lineRule="auto" w:before="0" w:after="40"/>
        <w:ind w:left="432" w:hanging="432"/>
        <w:jc w:val="both"/>
      </w:pPr>
      <w:r>
        <w:rPr>
          <w:b/>
          <w:sz w:val="16"/>
        </w:rPr>
        <w:t xml:space="preserve">[43] </w:t>
      </w:r>
      <w:r>
        <w:rPr>
          <w:sz w:val="16"/>
        </w:rPr>
        <w:t>Zhang Z.; Ma J.; Du J.; Wang L.; Zhang J., "Multimodal Pre-Training Based on Graph Attention Network for Document Understanding," IEEE Transactions on Multimedia, 2023, doi: 10.1109/tmm.2022.3214102.</w:t>
      </w:r>
    </w:p>
    <w:p>
      <w:pPr>
        <w:spacing w:line="240" w:lineRule="auto" w:before="0" w:after="40"/>
        <w:ind w:left="432" w:hanging="432"/>
        <w:jc w:val="both"/>
      </w:pPr>
      <w:r>
        <w:rPr>
          <w:b/>
          <w:sz w:val="16"/>
        </w:rPr>
        <w:t xml:space="preserve">[44] </w:t>
      </w:r>
      <w:r>
        <w:rPr>
          <w:sz w:val="16"/>
        </w:rPr>
        <w:t>Manjunath A.A.; Nayak M.S.; Nishith S.; Pandit S.N.; Sunkad S.; Deenadhayalan P.; Gangadhara S., "Automated invoice data extraction using image processing," IAES International Journal of Artificial Intelligence, 2023, doi: 10.11591/ijai.v12.i2.pp514-521.</w:t>
      </w:r>
    </w:p>
    <w:p>
      <w:pPr>
        <w:spacing w:line="240" w:lineRule="auto" w:before="0" w:after="40"/>
        <w:ind w:left="432" w:hanging="432"/>
        <w:jc w:val="both"/>
      </w:pPr>
      <w:r>
        <w:rPr>
          <w:b/>
          <w:sz w:val="16"/>
        </w:rPr>
        <w:t xml:space="preserve">[45] </w:t>
      </w:r>
      <w:r>
        <w:rPr>
          <w:sz w:val="16"/>
        </w:rPr>
        <w:t>Guha A.; Samanta D.; Islam S.H., "IIRM: Intelligent Information Retrieval Model for Structured Documents by One-Shot Training Using Computer Vision," Arabian Journal for Science and Engineering, 2023, doi: 10.1007/s13369-022-06735-3.</w:t>
      </w:r>
    </w:p>
    <w:p>
      <w:pPr>
        <w:spacing w:line="240" w:lineRule="auto" w:before="0" w:after="40"/>
        <w:ind w:left="432" w:hanging="432"/>
        <w:jc w:val="both"/>
      </w:pPr>
      <w:r>
        <w:rPr>
          <w:b/>
          <w:sz w:val="16"/>
        </w:rPr>
        <w:t xml:space="preserve">[46] </w:t>
      </w:r>
      <w:r>
        <w:rPr>
          <w:sz w:val="16"/>
        </w:rPr>
        <w:t>Namysł M.; Esser A.M.; Behnke S.; Köhler J., "Flexible Hybrid Table Recognition and Semantic Interpretation System," SN Computer Science, 2023, doi: 10.1007/s42979-022-01659-z.</w:t>
      </w:r>
    </w:p>
    <w:p>
      <w:pPr>
        <w:spacing w:line="240" w:lineRule="auto" w:before="0" w:after="40"/>
        <w:ind w:left="432" w:hanging="432"/>
        <w:jc w:val="both"/>
      </w:pPr>
      <w:r>
        <w:rPr>
          <w:b/>
          <w:sz w:val="16"/>
        </w:rPr>
        <w:t xml:space="preserve">[47] </w:t>
      </w:r>
      <w:r>
        <w:rPr>
          <w:sz w:val="16"/>
        </w:rPr>
        <w:t>Chu J.S.; Pyo B.; Parth V.; Hussein A.; Wang P., "Key-Value Pair Identification from Tables Using Multimodal Learning," International Journal of Pattern Recognition and Artificial Intelligence, 2023, doi: 10.1142/s0218001423520092.</w:t>
      </w:r>
    </w:p>
    <w:p>
      <w:pPr>
        <w:spacing w:line="240" w:lineRule="auto" w:before="0" w:after="40"/>
        <w:ind w:left="432" w:hanging="432"/>
        <w:jc w:val="both"/>
      </w:pPr>
      <w:r>
        <w:rPr>
          <w:b/>
          <w:sz w:val="16"/>
        </w:rPr>
        <w:t xml:space="preserve">[48] </w:t>
      </w:r>
      <w:r>
        <w:rPr>
          <w:sz w:val="16"/>
        </w:rPr>
        <w:t>Xiao B.; Simsek M.; Kantarci B.; Alkheir A.A., "Table detection for visually rich document images," Knowledge-Based Systems, 2023, doi: 10.1016/j.knosys.2023.111080.</w:t>
      </w:r>
    </w:p>
    <w:p>
      <w:pPr>
        <w:spacing w:line="240" w:lineRule="auto" w:before="0" w:after="40"/>
        <w:ind w:left="432" w:hanging="432"/>
        <w:jc w:val="both"/>
      </w:pPr>
      <w:r>
        <w:rPr>
          <w:b/>
          <w:sz w:val="16"/>
        </w:rPr>
        <w:t xml:space="preserve">[49] </w:t>
      </w:r>
      <w:r>
        <w:rPr>
          <w:sz w:val="16"/>
        </w:rPr>
        <w:t>Yang, P, "Financial Information Extraction Using the Improved Hidden Markov Model and Deep Learning," IETE JOURNAL OF RESEARCH, 2023, doi: 10.1080/03772063.2022.2054873.</w:t>
      </w:r>
    </w:p>
    <w:p>
      <w:pPr>
        <w:spacing w:line="240" w:lineRule="auto" w:before="0" w:after="40"/>
        <w:ind w:left="432" w:hanging="432"/>
        <w:jc w:val="both"/>
      </w:pPr>
      <w:r>
        <w:rPr>
          <w:b/>
          <w:sz w:val="16"/>
        </w:rPr>
        <w:t xml:space="preserve">[50] </w:t>
      </w:r>
      <w:r>
        <w:rPr>
          <w:sz w:val="16"/>
        </w:rPr>
        <w:t>Oral B.; Eryiğit G., "Fusion of visual representations for multimodal information extraction from unstructured transactional documents," International Journal on Document Analysis and Recognition, 2022, doi: 10.1007/s10032-022-00399-3.</w:t>
      </w:r>
    </w:p>
    <w:p>
      <w:pPr>
        <w:spacing w:line="240" w:lineRule="auto" w:before="0" w:after="40"/>
        <w:ind w:left="432" w:hanging="432"/>
        <w:jc w:val="both"/>
      </w:pPr>
      <w:r>
        <w:rPr>
          <w:b/>
          <w:sz w:val="16"/>
        </w:rPr>
        <w:t xml:space="preserve">[51] </w:t>
      </w:r>
      <w:r>
        <w:rPr>
          <w:sz w:val="16"/>
        </w:rPr>
        <w:t>Akkaya Y.; Simsek M.; Kantarci B.; Khan S., "On cropped versus uncropped training sets in tabular structure detection," Neurocomputing, 2022, doi: 10.1016/j.neucom.2022.09.094.</w:t>
      </w:r>
    </w:p>
    <w:p>
      <w:pPr>
        <w:spacing w:line="240" w:lineRule="auto" w:before="0" w:after="40"/>
        <w:ind w:left="432" w:hanging="432"/>
        <w:jc w:val="both"/>
      </w:pPr>
      <w:r>
        <w:rPr>
          <w:b/>
          <w:sz w:val="16"/>
        </w:rPr>
        <w:t xml:space="preserve">[52] </w:t>
      </w:r>
      <w:r>
        <w:rPr>
          <w:sz w:val="16"/>
        </w:rPr>
        <w:t>Lee E.; Park J.; Koo H.I.; Cho N.I., "Deep-learning and graph-based approach to table structure recognition," Multimedia Tools and Applications, 2022, doi: 10.1007/s11042-021-11819-7.</w:t>
      </w:r>
    </w:p>
    <w:p>
      <w:pPr>
        <w:spacing w:line="240" w:lineRule="auto" w:before="0" w:after="40"/>
        <w:ind w:left="432" w:hanging="432"/>
        <w:jc w:val="both"/>
      </w:pPr>
      <w:r>
        <w:rPr>
          <w:b/>
          <w:sz w:val="16"/>
        </w:rPr>
        <w:t xml:space="preserve">[53] </w:t>
      </w:r>
      <w:r>
        <w:rPr>
          <w:sz w:val="16"/>
        </w:rPr>
        <w:t>Biesner D.; Ramamurthy R.; Stenzel R.; Lübbering M.; Hillebrand L.; Ladi A.; Pielka M.; Loitz R.; Bauckhage C.; Sifa R., "Anonymization of German financial documents using neural network-based language models with contextual word representations," International Journal of Data Science and Analytics, 2022, doi: 10.1007/s41060-021-00285-x.</w:t>
      </w:r>
    </w:p>
    <w:p>
      <w:pPr>
        <w:spacing w:line="240" w:lineRule="auto" w:before="0" w:after="40"/>
        <w:ind w:left="432" w:hanging="432"/>
        <w:jc w:val="both"/>
      </w:pPr>
      <w:r>
        <w:rPr>
          <w:b/>
          <w:sz w:val="16"/>
        </w:rPr>
        <w:t xml:space="preserve">[54] </w:t>
      </w:r>
      <w:r>
        <w:rPr>
          <w:sz w:val="16"/>
        </w:rPr>
        <w:t>Kim C.-Y.; Jeong J.-G.; Choi S.-W.; Lee E.-B., "An AI-Based Automatic Risks Detection Solution for Plant Owner’s Technical Requirements in Equipment Purchase Order," Sustainability (Switzerland), 2022, doi: 10.3390/su141610010.</w:t>
      </w:r>
    </w:p>
    <w:p>
      <w:pPr>
        <w:spacing w:line="240" w:lineRule="auto" w:before="0" w:after="40"/>
        <w:ind w:left="432" w:hanging="432"/>
        <w:jc w:val="both"/>
      </w:pPr>
      <w:r>
        <w:rPr>
          <w:b/>
          <w:sz w:val="16"/>
        </w:rPr>
        <w:t xml:space="preserve">[55] </w:t>
      </w:r>
      <w:r>
        <w:rPr>
          <w:sz w:val="16"/>
        </w:rPr>
        <w:t>Chazhoor A.; Sarobin V.R., "Intelligent automation of invoice parsing using computer vision techniques," Multimedia Tools and Applications, 2022, doi: 10.1007/s11042-022-12916-x.</w:t>
      </w:r>
    </w:p>
    <w:p>
      <w:pPr>
        <w:spacing w:line="240" w:lineRule="auto" w:before="0" w:after="40"/>
        <w:ind w:left="432" w:hanging="432"/>
        <w:jc w:val="both"/>
      </w:pPr>
      <w:r>
        <w:rPr>
          <w:b/>
          <w:sz w:val="16"/>
        </w:rPr>
        <w:t xml:space="preserve">[56] </w:t>
      </w:r>
      <w:r>
        <w:rPr>
          <w:sz w:val="16"/>
        </w:rPr>
        <w:t>Chen Y.; Hu B.; Liu Y., "Optimizing document management and retrieval with multimodal transformers," PLOS ONE, 2025, doi: 10.1371/journal.pone.0315890.</w:t>
      </w:r>
    </w:p>
    <w:p>
      <w:pPr>
        <w:spacing w:line="240" w:lineRule="auto" w:before="0" w:after="40"/>
        <w:ind w:left="432" w:hanging="432"/>
        <w:jc w:val="both"/>
      </w:pPr>
      <w:r>
        <w:rPr>
          <w:b/>
          <w:sz w:val="16"/>
        </w:rPr>
        <w:t xml:space="preserve">[57] </w:t>
      </w:r>
      <w:r>
        <w:rPr>
          <w:sz w:val="16"/>
        </w:rPr>
        <w:t>Zhang H.; Dong B.; Zheng Q.; Feng B.; Xu B.; Wu H., "All-content text recognition method for financial ticket images," Multimedia Tools and Applications, 2022, doi: 10.1007/s11042-022-12741-2.</w:t>
      </w:r>
    </w:p>
    <w:p>
      <w:pPr>
        <w:spacing w:line="240" w:lineRule="auto" w:before="0" w:after="40"/>
        <w:ind w:left="432" w:hanging="432"/>
        <w:jc w:val="both"/>
      </w:pPr>
      <w:r>
        <w:rPr>
          <w:b/>
          <w:sz w:val="16"/>
        </w:rPr>
        <w:t xml:space="preserve">[58] </w:t>
      </w:r>
      <w:r>
        <w:rPr>
          <w:sz w:val="16"/>
        </w:rPr>
        <w:t>Sarkhel R.; Nandi A., "Improving information extraction from visually rich documents using visual span representations," Proceedings of the VLDB Endowment, 2021, doi: 10.14778/3446095.3446104.</w:t>
      </w:r>
    </w:p>
    <w:p>
      <w:pPr>
        <w:spacing w:line="240" w:lineRule="auto" w:before="0" w:after="40"/>
        <w:ind w:left="432" w:hanging="432"/>
        <w:jc w:val="both"/>
      </w:pPr>
      <w:r>
        <w:rPr>
          <w:b/>
          <w:sz w:val="16"/>
        </w:rPr>
        <w:t xml:space="preserve">[59] </w:t>
      </w:r>
      <w:r>
        <w:rPr>
          <w:sz w:val="16"/>
        </w:rPr>
        <w:t>Hashmi K.A.; Liwicki M.; Stricker D.; Afzal M.A.; Afzal M.A.; Afzal M.Z., "Current Status and Performance Analysis of Table Recognition in Document Images with Deep Neural Networks," IEEE Access, 2021, doi: 10.1109/access.2021.3087865.</w:t>
      </w:r>
    </w:p>
    <w:p>
      <w:pPr>
        <w:spacing w:line="240" w:lineRule="auto" w:before="0" w:after="40"/>
        <w:ind w:left="432" w:hanging="432"/>
        <w:jc w:val="both"/>
      </w:pPr>
      <w:r>
        <w:rPr>
          <w:b/>
          <w:sz w:val="16"/>
        </w:rPr>
        <w:t xml:space="preserve">[60] </w:t>
      </w:r>
      <w:r>
        <w:rPr>
          <w:sz w:val="16"/>
        </w:rPr>
        <w:t>Baviskar D.; Ahirrao S.; Kotecha K., "Multi-Layout Unstructured Invoice Documents Dataset: A Dataset for Template-Free Invoice Processing and Its Evaluation Using AI Approaches," IEEE Access, 2021, doi: 10.1109/access.2021.3096739.</w:t>
      </w:r>
    </w:p>
    <w:p>
      <w:pPr>
        <w:spacing w:line="240" w:lineRule="auto" w:before="0" w:after="40"/>
        <w:ind w:left="432" w:hanging="432"/>
        <w:jc w:val="both"/>
      </w:pPr>
      <w:r>
        <w:rPr>
          <w:b/>
          <w:sz w:val="16"/>
        </w:rPr>
        <w:t xml:space="preserve">[61] </w:t>
      </w:r>
      <w:r>
        <w:rPr>
          <w:sz w:val="16"/>
        </w:rPr>
        <w:t>Hashmi K.A.; Stricker D.; Liwicki M.; Afzal M.N.; Afzal M.Z., "Guided table structure recognition through anchor optimization," IEEE Access, 2021, doi: 10.1109/access.2021.3103413.</w:t>
      </w:r>
    </w:p>
    <w:p>
      <w:pPr>
        <w:spacing w:line="240" w:lineRule="auto" w:before="0" w:after="40"/>
        <w:ind w:left="432" w:hanging="432"/>
        <w:jc w:val="both"/>
      </w:pPr>
      <w:r>
        <w:rPr>
          <w:b/>
          <w:sz w:val="16"/>
        </w:rPr>
        <w:t xml:space="preserve">[62] </w:t>
      </w:r>
      <w:r>
        <w:rPr>
          <w:sz w:val="16"/>
        </w:rPr>
        <w:t>Aladhadh S.; Rehman H.U.; Qamar A.M.; Khan R.U., "Recurrent convolutional neural network MSER-based approach for payable document processing," Computers, Materials and Continua, 2021, doi: 10.32604/cmc.2021.018724.</w:t>
      </w:r>
    </w:p>
    <w:p>
      <w:pPr>
        <w:spacing w:line="240" w:lineRule="auto" w:before="0" w:after="40"/>
        <w:ind w:left="432" w:hanging="432"/>
        <w:jc w:val="both"/>
      </w:pPr>
      <w:r>
        <w:rPr>
          <w:b/>
          <w:sz w:val="16"/>
        </w:rPr>
        <w:t xml:space="preserve">[63] </w:t>
      </w:r>
      <w:r>
        <w:rPr>
          <w:sz w:val="16"/>
        </w:rPr>
        <w:t>Dergachov K.; Krasnov L.; Bilozerskyi V.; Zymovin A., "DATA PRE-PROCESSING TO INCREASE THE QUALITY OF OPTICAL TEXT RECOGNITION SYSTEMS; [ПРЕДВАРИТЕЛЬНАЯ ОБРАБОТКА ДАННЫХ ДЛЯ ПОВЫШЕНИЯ КАЧЕСТВА СИСТЕМ ОПТИЧЕСКОГО РАСПОЗНАВАНИЯ ТЕКСТА]; [ПОПЕРЕДНЯ ОБРОБКА ДАНИХ ДЛЯ ПІДВИЩЕННЯ ЯКОСТІ СИСТЕМ ОПТИЧНОГО РОЗПІЗНАВАННЯ ТЕКСТУ]," Radioelectronic and Computer Systems, 2021, doi: 10.32620/reks.2021.4.15.</w:t>
      </w:r>
    </w:p>
    <w:p>
      <w:pPr>
        <w:spacing w:line="240" w:lineRule="auto" w:before="0" w:after="40"/>
        <w:ind w:left="432" w:hanging="432"/>
        <w:jc w:val="both"/>
      </w:pPr>
      <w:r>
        <w:rPr>
          <w:b/>
          <w:sz w:val="16"/>
        </w:rPr>
        <w:t xml:space="preserve">[64] </w:t>
      </w:r>
      <w:r>
        <w:rPr>
          <w:sz w:val="16"/>
        </w:rPr>
        <w:t>Oral B.; Emekligil E.; Arslan S.; Eryiǧit G., "Information Extraction from Text Intensive and Visually Rich Banking Documents," Information Processing and Management, 2020, doi: 10.1016/j.ipm.2020.102361.</w:t>
      </w:r>
    </w:p>
    <w:p>
      <w:pPr>
        <w:spacing w:line="240" w:lineRule="auto" w:before="0" w:after="40"/>
        <w:ind w:left="432" w:hanging="432"/>
        <w:jc w:val="both"/>
      </w:pPr>
      <w:r>
        <w:rPr>
          <w:b/>
          <w:sz w:val="16"/>
        </w:rPr>
        <w:t xml:space="preserve">[65] </w:t>
      </w:r>
      <w:r>
        <w:rPr>
          <w:sz w:val="16"/>
        </w:rPr>
        <w:t>Giovannini, S; Coppini, F; Gemelli, A; Marinai, S, "BoundingDocs: a Unified Dataset for Document Question Answering with Spatial Annotations," INTERNATIONAL JOURNAL ON DOCUMENT ANALYSIS AND RECOGNITION, 2026, doi: 10.1007/s10032-025-00563-5.</w:t>
      </w:r>
    </w:p>
    <w:p>
      <w:pPr>
        <w:spacing w:line="240" w:lineRule="auto" w:before="0" w:after="40"/>
        <w:ind w:left="432" w:hanging="432"/>
        <w:jc w:val="both"/>
      </w:pPr>
      <w:r>
        <w:rPr>
          <w:b/>
          <w:sz w:val="16"/>
        </w:rPr>
        <w:t xml:space="preserve">[66] </w:t>
      </w:r>
      <w:r>
        <w:rPr>
          <w:sz w:val="16"/>
        </w:rPr>
        <w:t>Raja, S; Mondal, A; Jawahar, CV, "From pixels to tables: reconstructing complex tables from document images," INTERNATIONAL JOURNAL ON DOCUMENT ANALYSIS AND RECOGNITION, 2026, doi: 10.1007/s10032-025-00553-7.</w:t>
      </w:r>
    </w:p>
    <w:p>
      <w:pPr>
        <w:spacing w:line="240" w:lineRule="auto" w:before="0" w:after="40"/>
        <w:ind w:left="432" w:hanging="432"/>
        <w:jc w:val="both"/>
      </w:pPr>
      <w:r>
        <w:rPr>
          <w:b/>
          <w:sz w:val="16"/>
        </w:rPr>
        <w:t xml:space="preserve">[67] </w:t>
      </w:r>
      <w:r>
        <w:rPr>
          <w:sz w:val="16"/>
        </w:rPr>
        <w:t>Gbada H.; Kalti K.; Mahjoub M.A., "Deep learning approaches for information extraction from visually rich documents: datasets, challenges and methods," International Journal on Document Analysis and Recognition, 2025, doi: 10.1007/s10032-024-00493-8.</w:t>
      </w:r>
    </w:p>
    <w:p>
      <w:pPr>
        <w:spacing w:line="240" w:lineRule="auto" w:before="0" w:after="40"/>
        <w:ind w:left="432" w:hanging="432"/>
        <w:jc w:val="both"/>
      </w:pPr>
      <w:r>
        <w:rPr>
          <w:b/>
          <w:sz w:val="16"/>
        </w:rPr>
        <w:t xml:space="preserve">[68] </w:t>
      </w:r>
      <w:r>
        <w:rPr>
          <w:sz w:val="16"/>
        </w:rPr>
        <w:t>Fan J.; Wang D.; Zheng Y., "Smart Money, Greener Future: AI-Enhanced English Financial Text Processing for ESG Investment Decisions," Sustainability (Switzerland), 2025, doi: 10.3390/su17156971.</w:t>
      </w:r>
    </w:p>
    <w:p>
      <w:pPr>
        <w:spacing w:line="240" w:lineRule="auto" w:before="0" w:after="40"/>
        <w:ind w:left="432" w:hanging="432"/>
        <w:jc w:val="both"/>
      </w:pPr>
      <w:r>
        <w:rPr>
          <w:b/>
          <w:sz w:val="16"/>
        </w:rPr>
        <w:t xml:space="preserve">[69] </w:t>
      </w:r>
      <w:r>
        <w:rPr>
          <w:sz w:val="16"/>
        </w:rPr>
        <w:t>Singh D., "OCR-Driven Automation: A Case Study on Document Processing Using Tesseract and OpenCV," Dianwang Jishu/Power System Technology, 2025, doi: 10.52783/pst.1715.</w:t>
      </w:r>
    </w:p>
    <w:p>
      <w:pPr>
        <w:spacing w:line="240" w:lineRule="auto" w:before="0" w:after="40"/>
        <w:ind w:left="432" w:hanging="432"/>
        <w:jc w:val="both"/>
      </w:pPr>
      <w:r>
        <w:rPr>
          <w:b/>
          <w:sz w:val="16"/>
        </w:rPr>
        <w:t xml:space="preserve">[70] </w:t>
      </w:r>
      <w:r>
        <w:rPr>
          <w:sz w:val="16"/>
        </w:rPr>
        <w:t>Feng H.; Zhou W.; Deng J.; Wang X., "DocScanner: Robust Document Image Rectification with Progressive Deformation Field Estimation," International Journal on Document Analysis and Recognition, 2025, doi: 10.1007/s10032-024-00488-1.</w:t>
      </w:r>
    </w:p>
    <w:p>
      <w:pPr>
        <w:spacing w:line="240" w:lineRule="auto" w:before="0" w:after="40"/>
        <w:ind w:left="432" w:hanging="432"/>
        <w:jc w:val="both"/>
      </w:pPr>
      <w:r>
        <w:rPr>
          <w:b/>
          <w:sz w:val="16"/>
        </w:rPr>
        <w:t xml:space="preserve">[71] </w:t>
      </w:r>
      <w:r>
        <w:rPr>
          <w:sz w:val="16"/>
        </w:rPr>
        <w:t>Lee E.; Jo Y.; Lee S.; Kim S.H.; Cho N.I., "Single-stage table structure recognition approach via efficient sequence modeling," Pattern Recognition Letters, 2025, doi: 10.1016/j.patrec.2025.07.022.</w:t>
      </w:r>
    </w:p>
    <w:p>
      <w:pPr>
        <w:spacing w:line="240" w:lineRule="auto" w:before="0" w:after="40"/>
        <w:ind w:left="432" w:hanging="432"/>
        <w:jc w:val="both"/>
      </w:pPr>
      <w:r>
        <w:rPr>
          <w:b/>
          <w:sz w:val="16"/>
        </w:rPr>
        <w:t xml:space="preserve">[72] </w:t>
      </w:r>
      <w:r>
        <w:rPr>
          <w:sz w:val="16"/>
        </w:rPr>
        <w:t>Wadmare J.; Patil S.R.; Kolte D.; Bhatia K.; Desai P.; Wadmare G., "Transforming images into words: optical character recognition solutions for image text extraction," IAES International Journal of Artificial Intelligence, 2025, doi: 10.11591/ijai.v14.i4.pp3412-3420.</w:t>
      </w:r>
    </w:p>
    <w:p>
      <w:pPr>
        <w:spacing w:line="240" w:lineRule="auto" w:before="0" w:after="40"/>
        <w:ind w:left="432" w:hanging="432"/>
        <w:jc w:val="both"/>
      </w:pPr>
      <w:r>
        <w:rPr>
          <w:b/>
          <w:sz w:val="16"/>
        </w:rPr>
        <w:t xml:space="preserve">[73] </w:t>
      </w:r>
      <w:r>
        <w:rPr>
          <w:sz w:val="16"/>
        </w:rPr>
        <w:t>Zhang W.; Liu F.; Xu Z.; Bi Z., "Geometry-aware and autonomous reading-order learning for OCR-free document parsing," International Journal of Web Information Systems, 2025, doi: 10.1108/ijwis-07-2025-0204.</w:t>
      </w:r>
    </w:p>
    <w:p>
      <w:pPr>
        <w:spacing w:line="240" w:lineRule="auto" w:before="0" w:after="40"/>
        <w:ind w:left="432" w:hanging="432"/>
        <w:jc w:val="both"/>
      </w:pPr>
      <w:r>
        <w:rPr>
          <w:b/>
          <w:sz w:val="16"/>
        </w:rPr>
        <w:t xml:space="preserve">[74] </w:t>
      </w:r>
      <w:r>
        <w:rPr>
          <w:sz w:val="16"/>
        </w:rPr>
        <w:t>Yan Z.; Ye Z.; Ge J.; Qin J.; Liu J.; Cheng Y.; Gurrin C., "DocExtractNet: A novel framework for enhanced information extraction from business documents," Information Processing and Management, 2025, doi: 10.1016/j.ipm.2024.104046.</w:t>
      </w:r>
    </w:p>
    <w:p>
      <w:pPr>
        <w:spacing w:line="240" w:lineRule="auto" w:before="0" w:after="40"/>
        <w:ind w:left="432" w:hanging="432"/>
        <w:jc w:val="both"/>
      </w:pPr>
      <w:r>
        <w:rPr>
          <w:b/>
          <w:sz w:val="16"/>
        </w:rPr>
        <w:t xml:space="preserve">[75] </w:t>
      </w:r>
      <w:r>
        <w:rPr>
          <w:sz w:val="16"/>
        </w:rPr>
        <w:t>Tran A.C.; Le B.T.; Nguyen H.T., "Efficiency evaluation of filter sizes on graph convolutional neural networks for information extraction from receipts," International Journal of Information Technology (Singapore), 2025, doi: 10.1007/s41870-024-02089-1.</w:t>
      </w:r>
    </w:p>
    <w:p>
      <w:pPr>
        <w:spacing w:line="240" w:lineRule="auto" w:before="0" w:after="40"/>
        <w:ind w:left="432" w:hanging="432"/>
        <w:jc w:val="both"/>
      </w:pPr>
      <w:r>
        <w:rPr>
          <w:b/>
          <w:sz w:val="16"/>
        </w:rPr>
        <w:t xml:space="preserve">[76] </w:t>
      </w:r>
      <w:r>
        <w:rPr>
          <w:sz w:val="16"/>
        </w:rPr>
        <w:t>Rombach A.M.; Lahann J.; Niesen T.; Fettke P., "Utilizing Deep Learning for Field-Level Information Extraction from German Real Estate Tax Notices," Journal of Emerging Technologies in Accounting, 2025, doi: 10.2308/jeta-2023-028.</w:t>
      </w:r>
    </w:p>
    <w:p>
      <w:pPr>
        <w:spacing w:line="240" w:lineRule="auto" w:before="0" w:after="40"/>
        <w:ind w:left="432" w:hanging="432"/>
        <w:jc w:val="both"/>
      </w:pPr>
      <w:r>
        <w:rPr>
          <w:b/>
          <w:sz w:val="16"/>
        </w:rPr>
        <w:t xml:space="preserve">[77] </w:t>
      </w:r>
      <w:r>
        <w:rPr>
          <w:sz w:val="16"/>
        </w:rPr>
        <w:t>Arshad A.; Moetesum M.; Hasan A.U.; Shafait F., "A Graph-Augmented Multi-Stage Transformer Model for Document Layout Understanding," International Journal on Document Analysis and Recognition, 2025, doi: 10.1007/s10032-025-00566-2.</w:t>
      </w:r>
    </w:p>
    <w:p>
      <w:pPr>
        <w:spacing w:line="240" w:lineRule="auto" w:before="0" w:after="40"/>
        <w:ind w:left="432" w:hanging="432"/>
        <w:jc w:val="both"/>
      </w:pPr>
      <w:r>
        <w:rPr>
          <w:b/>
          <w:sz w:val="16"/>
        </w:rPr>
        <w:t xml:space="preserve">[78] </w:t>
      </w:r>
      <w:r>
        <w:rPr>
          <w:sz w:val="16"/>
        </w:rPr>
        <w:t>Wang H.; Zhou H.B.; Zhang Y.; Chen K., "Word Length-Aware Text Spotting: Enhancing Dense Text Detection and Recognition in Visually Rich Documents," IEEE Transactions on Instrumentation and Measurement, 2025, doi: 10.1109/tim.2025.3526189.</w:t>
      </w:r>
    </w:p>
    <w:p>
      <w:pPr>
        <w:spacing w:line="240" w:lineRule="auto" w:before="0" w:after="40"/>
        <w:ind w:left="432" w:hanging="432"/>
        <w:jc w:val="both"/>
      </w:pPr>
      <w:r>
        <w:rPr>
          <w:b/>
          <w:sz w:val="16"/>
        </w:rPr>
        <w:t xml:space="preserve">[79] </w:t>
      </w:r>
      <w:r>
        <w:rPr>
          <w:sz w:val="16"/>
        </w:rPr>
        <w:t>Chen Z.; Zhang Y.; Yan J.; Wei X.; Xian W.; Mao Q.; Qin Y.; Gao T., "FE-WRNet: Frequency-Enhanced Network for Visible Watermark Removal in Document Images," Applied Sciences (Switzerland), 2025, doi: 10.3390/app152212216.</w:t>
      </w:r>
    </w:p>
    <w:p>
      <w:pPr>
        <w:spacing w:line="240" w:lineRule="auto" w:before="0" w:after="40"/>
        <w:ind w:left="432" w:hanging="432"/>
        <w:jc w:val="both"/>
      </w:pPr>
      <w:r>
        <w:rPr>
          <w:b/>
          <w:sz w:val="16"/>
        </w:rPr>
        <w:t xml:space="preserve">[80] </w:t>
      </w:r>
      <w:r>
        <w:rPr>
          <w:sz w:val="16"/>
        </w:rPr>
        <w:t>Yang Z.; Hua W.; Song S.; Yao C.; Zhu Y.; Cheng W.; Bai X., "Generative compositor for few-shot visual information extraction," Pattern Recognition, 2025, doi: 10.1016/j.patcog.2025.111624.</w:t>
      </w:r>
    </w:p>
    <w:p>
      <w:pPr>
        <w:spacing w:line="240" w:lineRule="auto" w:before="0" w:after="40"/>
        <w:ind w:left="432" w:hanging="432"/>
        <w:jc w:val="both"/>
      </w:pPr>
      <w:r>
        <w:rPr>
          <w:b/>
          <w:sz w:val="16"/>
        </w:rPr>
        <w:t xml:space="preserve">[81] </w:t>
      </w:r>
      <w:r>
        <w:rPr>
          <w:sz w:val="16"/>
        </w:rPr>
        <w:t>Wang S.; Ge J.; Zhang J.; He H.; Zhang Y., "Image restoration and key field alignment for misaligned overlapping text in secondary printing document images," Frontiers in Artificial Intelligence, 2025, doi: 10.3389/frai.2025.1616007.</w:t>
      </w:r>
    </w:p>
    <w:p>
      <w:pPr>
        <w:spacing w:line="240" w:lineRule="auto" w:before="0" w:after="40"/>
        <w:ind w:left="432" w:hanging="432"/>
        <w:jc w:val="both"/>
      </w:pPr>
      <w:r>
        <w:rPr>
          <w:b/>
          <w:sz w:val="16"/>
        </w:rPr>
        <w:t xml:space="preserve">[82] </w:t>
      </w:r>
      <w:r>
        <w:rPr>
          <w:sz w:val="16"/>
        </w:rPr>
        <w:t>Zhang J.; Zhang Y., "DocRouter: Prompt guided vision transformer and Mixture of Experts connector for document understanding," Information Fusion, 2025, doi: 10.1016/j.inffus.2025.103206.</w:t>
      </w:r>
    </w:p>
    <w:p>
      <w:pPr>
        <w:spacing w:line="240" w:lineRule="auto" w:before="0" w:after="40"/>
        <w:ind w:left="432" w:hanging="432"/>
        <w:jc w:val="both"/>
      </w:pPr>
      <w:r>
        <w:rPr>
          <w:b/>
          <w:sz w:val="16"/>
        </w:rPr>
        <w:t xml:space="preserve">[83] </w:t>
      </w:r>
      <w:r>
        <w:rPr>
          <w:sz w:val="16"/>
        </w:rPr>
        <w:t>Zhang Z.; Zhu M.; Yang X.; Li T., "EJRSNet: A joint mechanism network for object detection with efficient receiving and sending of hierarchical feature information," Expert Systems with Applications, 2025, doi: 10.1016/j.eswa.2024.126375.</w:t>
      </w:r>
    </w:p>
    <w:p>
      <w:pPr>
        <w:spacing w:line="240" w:lineRule="auto" w:before="0" w:after="40"/>
        <w:ind w:left="432" w:hanging="432"/>
        <w:jc w:val="both"/>
      </w:pPr>
      <w:r>
        <w:rPr>
          <w:b/>
          <w:sz w:val="16"/>
        </w:rPr>
        <w:t xml:space="preserve">[84] </w:t>
      </w:r>
      <w:r>
        <w:rPr>
          <w:sz w:val="16"/>
        </w:rPr>
        <w:t>Gayer A.; Arlazarov V.V., "MULDT: Multilingual Ultra-Lightweight Document Text Detection for Embedded Devices," IEEE Access, 2024, doi: 10.1109/access.2024.3474616.</w:t>
      </w:r>
    </w:p>
    <w:p>
      <w:pPr>
        <w:spacing w:line="240" w:lineRule="auto" w:before="0" w:after="40"/>
        <w:ind w:left="432" w:hanging="432"/>
        <w:jc w:val="both"/>
      </w:pPr>
      <w:r>
        <w:rPr>
          <w:b/>
          <w:sz w:val="16"/>
        </w:rPr>
        <w:t xml:space="preserve">[85] </w:t>
      </w:r>
      <w:r>
        <w:rPr>
          <w:sz w:val="16"/>
        </w:rPr>
        <w:t>Zyrek M.; Tarasiewicz T.; Sadek S., "Task-Driven Real-World Super-Resolution of Document Scans," Applied Sciences, 2025, doi: 10.3390/app15020780.</w:t>
      </w:r>
    </w:p>
    <w:p>
      <w:pPr>
        <w:spacing w:line="240" w:lineRule="auto" w:before="0" w:after="40"/>
        <w:ind w:left="432" w:hanging="432"/>
        <w:jc w:val="both"/>
      </w:pPr>
      <w:r>
        <w:rPr>
          <w:b/>
          <w:sz w:val="16"/>
        </w:rPr>
        <w:t xml:space="preserve">[86] </w:t>
      </w:r>
      <w:r>
        <w:rPr>
          <w:sz w:val="16"/>
        </w:rPr>
        <w:t>Sánchez J.; Cuervo-Londoño G.A., "A Bag-of-Words Approach for Information Extraction from Electricity Invoices," AI (Switzerland), 2024, doi: 10.3390/ai5040091.</w:t>
      </w:r>
    </w:p>
    <w:p>
      <w:pPr>
        <w:spacing w:line="240" w:lineRule="auto" w:before="0" w:after="40"/>
        <w:ind w:left="432" w:hanging="432"/>
        <w:jc w:val="both"/>
      </w:pPr>
      <w:r>
        <w:rPr>
          <w:b/>
          <w:sz w:val="16"/>
        </w:rPr>
        <w:t xml:space="preserve">[87] </w:t>
      </w:r>
      <w:r>
        <w:rPr>
          <w:sz w:val="16"/>
        </w:rPr>
        <w:t>Hamri M.; Devanne M.; Weber J.; Hassenforder M., "Document Information Extraction: An Analysis of Invoice Anatomy," Applied Computational Intelligence and Soft Computing, 2024, doi: 10.1155/2024/7599415.</w:t>
      </w:r>
    </w:p>
    <w:p>
      <w:pPr>
        <w:spacing w:line="240" w:lineRule="auto" w:before="0" w:after="40"/>
        <w:ind w:left="432" w:hanging="432"/>
        <w:jc w:val="both"/>
      </w:pPr>
      <w:r>
        <w:rPr>
          <w:b/>
          <w:sz w:val="16"/>
        </w:rPr>
        <w:t xml:space="preserve">[88] </w:t>
      </w:r>
      <w:r>
        <w:rPr>
          <w:sz w:val="16"/>
        </w:rPr>
        <w:t>Kiatphaisansophon P.; Wanvarie D.; Cooharojananone N., "Efficient Text Bounding Box Identification Using Mask R-CNN: Case of Thai Documents," IEEE Access, 2024, doi: 10.1109/access.2024.3383911.</w:t>
      </w:r>
    </w:p>
    <w:p>
      <w:pPr>
        <w:spacing w:line="240" w:lineRule="auto" w:before="0" w:after="40"/>
        <w:ind w:left="432" w:hanging="432"/>
        <w:jc w:val="both"/>
      </w:pPr>
      <w:r>
        <w:rPr>
          <w:b/>
          <w:sz w:val="16"/>
        </w:rPr>
        <w:t xml:space="preserve">[89] </w:t>
      </w:r>
      <w:r>
        <w:rPr>
          <w:sz w:val="16"/>
        </w:rPr>
        <w:t>Kim S.; Lai P.; Khan D.; Zhao K.; Le B.; Luchianov A.; Yu M.; Wang P., "Configurable Customized Information Extraction and Processing Pipeline," International Journal of Pattern Recognition and Artificial Intelligence, 2024, doi: 10.1142/s0218001424590122.</w:t>
      </w:r>
    </w:p>
    <w:p>
      <w:pPr>
        <w:spacing w:line="240" w:lineRule="auto" w:before="0" w:after="40"/>
        <w:ind w:left="432" w:hanging="432"/>
        <w:jc w:val="both"/>
      </w:pPr>
      <w:r>
        <w:rPr>
          <w:b/>
          <w:sz w:val="16"/>
        </w:rPr>
        <w:t xml:space="preserve">[90] </w:t>
      </w:r>
      <w:r>
        <w:rPr>
          <w:sz w:val="16"/>
        </w:rPr>
        <w:t>Krieger F.; Drews P.; Funk B., "Automated invoice processing: Machine learning-based information extraction for long tail suppliers," Intelligent Systems with Applications, 2023, doi: 10.1016/j.iswa.2023.200285.</w:t>
      </w:r>
    </w:p>
    <w:p>
      <w:pPr>
        <w:spacing w:line="240" w:lineRule="auto" w:before="0" w:after="40"/>
        <w:ind w:left="432" w:hanging="432"/>
        <w:jc w:val="both"/>
      </w:pPr>
      <w:r>
        <w:rPr>
          <w:b/>
          <w:sz w:val="16"/>
        </w:rPr>
        <w:t xml:space="preserve">[91] </w:t>
      </w:r>
      <w:r>
        <w:rPr>
          <w:sz w:val="16"/>
        </w:rPr>
        <w:t>Chen C.-H.; Huang K.-W., "Document Classification Using Lightweight Neural Network," Journal of Internet Technology, 2023, doi: 10.53106/160792642023122407012.</w:t>
      </w:r>
    </w:p>
    <w:p>
      <w:pPr>
        <w:spacing w:line="240" w:lineRule="auto" w:before="0" w:after="40"/>
        <w:ind w:left="432" w:hanging="432"/>
        <w:jc w:val="both"/>
      </w:pPr>
      <w:r>
        <w:rPr>
          <w:b/>
          <w:sz w:val="16"/>
        </w:rPr>
        <w:t xml:space="preserve">[92] </w:t>
      </w:r>
      <w:r>
        <w:rPr>
          <w:sz w:val="16"/>
        </w:rPr>
        <w:t>Cao P.; Wu J., "GraphRevisedIE: Multimodal information extraction with graph-revised network," Pattern Recognition, 2023, doi: 10.1016/j.patcog.2023.109542.</w:t>
      </w:r>
    </w:p>
    <w:p>
      <w:pPr>
        <w:spacing w:line="240" w:lineRule="auto" w:before="0" w:after="40"/>
        <w:ind w:left="432" w:hanging="432"/>
        <w:jc w:val="both"/>
      </w:pPr>
      <w:r>
        <w:rPr>
          <w:b/>
          <w:sz w:val="16"/>
        </w:rPr>
        <w:t xml:space="preserve">[93] </w:t>
      </w:r>
      <w:r>
        <w:rPr>
          <w:sz w:val="16"/>
        </w:rPr>
        <w:t>Tao X.; Han Y.; Jin Y.; Wang Z., "FLIP: A Novel Feedback Learning-Based Intelligent Plugin Towards Robust Document Text Recognition," Mathematics, 2025, doi: 10.3390/math13030422.</w:t>
      </w:r>
    </w:p>
    <w:p>
      <w:pPr>
        <w:spacing w:line="240" w:lineRule="auto" w:before="0" w:after="40"/>
        <w:ind w:left="432" w:hanging="432"/>
        <w:jc w:val="both"/>
      </w:pPr>
      <w:r>
        <w:rPr>
          <w:b/>
          <w:sz w:val="16"/>
        </w:rPr>
        <w:t xml:space="preserve">[94] </w:t>
      </w:r>
      <w:r>
        <w:rPr>
          <w:sz w:val="16"/>
        </w:rPr>
        <w:t>Chai Y.; Chen M.; Wu H.; Wang S., "Fin-EMRC: An Efficient Machine Reading Comprehension Framework for Financial Entity-Relation Extraction," IEEE Access, 2023, doi: 10.1109/access.2023.3299880.</w:t>
      </w:r>
    </w:p>
    <w:p>
      <w:pPr>
        <w:spacing w:line="240" w:lineRule="auto" w:before="0" w:after="40"/>
        <w:ind w:left="432" w:hanging="432"/>
        <w:jc w:val="both"/>
      </w:pPr>
      <w:r>
        <w:rPr>
          <w:b/>
          <w:sz w:val="16"/>
        </w:rPr>
        <w:t xml:space="preserve">[95] </w:t>
      </w:r>
      <w:r>
        <w:rPr>
          <w:sz w:val="16"/>
        </w:rPr>
        <w:t>Poudel U.; Regmi A.M.; Stamenkovic Z.; Raja S.P., "Applicability of OCR Engines for Text Recognition in Vehicle Number Plates, Receipts and Handwriting," Journal of Circuits, Systems and Computers, 2023, doi: 10.1142/s0218126623503218.</w:t>
      </w:r>
    </w:p>
    <w:p>
      <w:pPr>
        <w:spacing w:line="240" w:lineRule="auto" w:before="0" w:after="40"/>
        <w:ind w:left="432" w:hanging="432"/>
        <w:jc w:val="both"/>
      </w:pPr>
      <w:r>
        <w:rPr>
          <w:b/>
          <w:sz w:val="16"/>
        </w:rPr>
        <w:t xml:space="preserve">[96] </w:t>
      </w:r>
      <w:r>
        <w:rPr>
          <w:sz w:val="16"/>
        </w:rPr>
        <w:t>Cruz F.; Castelli M., "Learning Curves Prediction for a Transformers-Based Model," Emerging Science Journal, 2023, doi: 10.28991/esj-2023-07-05-03.</w:t>
      </w:r>
    </w:p>
    <w:p>
      <w:pPr>
        <w:spacing w:line="240" w:lineRule="auto" w:before="0" w:after="40"/>
        <w:ind w:left="432" w:hanging="432"/>
        <w:jc w:val="both"/>
      </w:pPr>
      <w:r>
        <w:rPr>
          <w:b/>
          <w:sz w:val="16"/>
        </w:rPr>
        <w:t xml:space="preserve">[97] </w:t>
      </w:r>
      <w:r>
        <w:rPr>
          <w:sz w:val="16"/>
        </w:rPr>
        <w:t>Azzam F.; Jaber M.; Saies A.; Kirresh T.; Awadallah R.; Karakra A.; Barghouthi H.; Amarneh S., "The Use of Blockchain Technology and OCR in E-Government for Document Management: Inbound Invoice Management as an Example," Applied Sciences (Switzerland), 2023, doi: 10.3390/app13148463.</w:t>
      </w:r>
    </w:p>
    <w:p>
      <w:pPr>
        <w:spacing w:line="240" w:lineRule="auto" w:before="0" w:after="40"/>
        <w:ind w:left="432" w:hanging="432"/>
        <w:jc w:val="both"/>
      </w:pPr>
      <w:r>
        <w:rPr>
          <w:b/>
          <w:sz w:val="16"/>
        </w:rPr>
        <w:t xml:space="preserve">[98] </w:t>
      </w:r>
      <w:r>
        <w:rPr>
          <w:sz w:val="16"/>
        </w:rPr>
        <w:t>Lin H.-Y.; Hsu C.-Y., "Structured Cluster Detection from Local Feature Learning for Text Region Extraction," Entropy, 2023, doi: 10.3390/e25040658.</w:t>
      </w:r>
    </w:p>
    <w:p>
      <w:pPr>
        <w:spacing w:line="240" w:lineRule="auto" w:before="0" w:after="40"/>
        <w:ind w:left="432" w:hanging="432"/>
        <w:jc w:val="both"/>
      </w:pPr>
      <w:r>
        <w:rPr>
          <w:b/>
          <w:sz w:val="16"/>
        </w:rPr>
        <w:t xml:space="preserve">[99] </w:t>
      </w:r>
      <w:r>
        <w:rPr>
          <w:sz w:val="16"/>
        </w:rPr>
        <w:t>Vincent E.J.; Hari V.S., "Classification of Letter Images from Scanned Invoices using CNN," International Journal of Computing, 2023, doi: 10.47839/ijc.22.3.3232.</w:t>
      </w:r>
    </w:p>
    <w:p>
      <w:pPr>
        <w:spacing w:line="240" w:lineRule="auto" w:before="0" w:after="40"/>
        <w:ind w:left="432" w:hanging="432"/>
        <w:jc w:val="both"/>
      </w:pPr>
      <w:r>
        <w:rPr>
          <w:b/>
          <w:sz w:val="16"/>
        </w:rPr>
        <w:t xml:space="preserve">[100] </w:t>
      </w:r>
      <w:r>
        <w:rPr>
          <w:sz w:val="16"/>
        </w:rPr>
        <w:t>Sayallar C.; Sayar A.; Babalık N., "An OCR Engine for Printed Receipt Images using Deep Learning Techniques," International Journal of Advanced Computer Science and Applications, 2023, doi: 10.14569/ijacsa.2023.0140295.</w:t>
      </w:r>
    </w:p>
    <w:p>
      <w:pPr>
        <w:spacing w:line="240" w:lineRule="auto" w:before="0" w:after="40"/>
        <w:ind w:left="432" w:hanging="432"/>
        <w:jc w:val="both"/>
      </w:pPr>
      <w:r>
        <w:rPr>
          <w:b/>
          <w:sz w:val="16"/>
        </w:rPr>
        <w:t xml:space="preserve">[101] </w:t>
      </w:r>
      <w:r>
        <w:rPr>
          <w:sz w:val="16"/>
        </w:rPr>
        <w:t>Okarma K.; Lech P., "A method supporting fault-tolerant optical text recognition from video sequences recorded with handheld cameras," Engineering Applications of Artificial Intelligence, 2023, doi: 10.1016/j.engappai.2023.106330.</w:t>
      </w:r>
    </w:p>
    <w:p>
      <w:pPr>
        <w:spacing w:line="240" w:lineRule="auto" w:before="0" w:after="40"/>
        <w:ind w:left="432" w:hanging="432"/>
        <w:jc w:val="both"/>
      </w:pPr>
      <w:r>
        <w:rPr>
          <w:b/>
          <w:sz w:val="16"/>
        </w:rPr>
        <w:t xml:space="preserve">[102] </w:t>
      </w:r>
      <w:r>
        <w:rPr>
          <w:sz w:val="16"/>
        </w:rPr>
        <w:t>Yeung O.M.; John J.A.J.A.P.C.M.E.; Muton N.B.R., "Digitizing Receipts with OCR," International Journal of Computing and Digital Systems, 2023, doi: 10.12785/ijcds/140132.</w:t>
      </w:r>
    </w:p>
    <w:p>
      <w:pPr>
        <w:spacing w:line="240" w:lineRule="auto" w:before="0" w:after="40"/>
        <w:ind w:left="432" w:hanging="432"/>
        <w:jc w:val="both"/>
      </w:pPr>
      <w:r>
        <w:rPr>
          <w:b/>
          <w:sz w:val="16"/>
        </w:rPr>
        <w:t xml:space="preserve">[103] </w:t>
      </w:r>
      <w:r>
        <w:rPr>
          <w:sz w:val="16"/>
        </w:rPr>
        <w:t>Arslan H., "End to End Invoice Processing Application Based on Key Fields Extraction," IEEE Access, 2022, doi: 10.1109/access.2022.3192828.</w:t>
      </w:r>
    </w:p>
    <w:p>
      <w:pPr>
        <w:spacing w:line="240" w:lineRule="auto" w:before="0" w:after="40"/>
        <w:ind w:left="432" w:hanging="432"/>
        <w:jc w:val="both"/>
      </w:pPr>
      <w:r>
        <w:rPr>
          <w:b/>
          <w:sz w:val="16"/>
        </w:rPr>
        <w:t xml:space="preserve">[104] </w:t>
      </w:r>
      <w:r>
        <w:rPr>
          <w:sz w:val="16"/>
        </w:rPr>
        <w:t>Kashinath T.; Jain T.; Agrawal Y.; Anand T.; Singh S., "End-to-end table structure recognition and extraction in heterogeneous documents," Applied Soft Computing, 2022, doi: 10.1016/j.asoc.2022.108942.</w:t>
      </w:r>
    </w:p>
    <w:p>
      <w:pPr>
        <w:spacing w:line="240" w:lineRule="auto" w:before="0" w:after="40"/>
        <w:ind w:left="432" w:hanging="432"/>
        <w:jc w:val="both"/>
      </w:pPr>
      <w:r>
        <w:rPr>
          <w:b/>
          <w:sz w:val="16"/>
        </w:rPr>
        <w:t xml:space="preserve">[105] </w:t>
      </w:r>
      <w:r>
        <w:rPr>
          <w:sz w:val="16"/>
        </w:rPr>
        <w:t>Riba P.; Goldmann L.; Terrades O.R.; Rusticus D.; Fornés A.; Lladós J., "Table detection in business document images by message passing networks," Pattern Recognition, 2022, doi: 10.1016/j.patcog.2022.108641.</w:t>
      </w:r>
    </w:p>
    <w:p>
      <w:pPr>
        <w:spacing w:line="240" w:lineRule="auto" w:before="0" w:after="40"/>
        <w:ind w:left="432" w:hanging="432"/>
        <w:jc w:val="both"/>
      </w:pPr>
      <w:r>
        <w:rPr>
          <w:b/>
          <w:sz w:val="16"/>
        </w:rPr>
        <w:t xml:space="preserve">[106] </w:t>
      </w:r>
      <w:r>
        <w:rPr>
          <w:sz w:val="16"/>
        </w:rPr>
        <w:t>Lee W.-T.; Huang C.-C., "Deformable Convolutional Neuron Network Model for Detecting Tables and Columns from Document Images," Journal of Information Science and Engineering, 2022, doi: 10.6688/jise.202211_38(6).0011.</w:t>
      </w:r>
    </w:p>
    <w:p>
      <w:pPr>
        <w:spacing w:line="240" w:lineRule="auto" w:before="0" w:after="40"/>
        <w:ind w:left="432" w:hanging="432"/>
        <w:jc w:val="both"/>
      </w:pPr>
      <w:r>
        <w:rPr>
          <w:b/>
          <w:sz w:val="16"/>
        </w:rPr>
        <w:t xml:space="preserve">[107] </w:t>
      </w:r>
      <w:r>
        <w:rPr>
          <w:sz w:val="16"/>
        </w:rPr>
        <w:t>Tran A.C.; Ho L.T.; Nguyen H.T., "Information Extraction from Invoices by using a Graph Convolutional Neural Network: A Case Study of Vietnamese Stores," IEIE Transactions on Smart Processing and Computing, 2022, doi: 10.5573/ieiespc.2022.11.5.316.</w:t>
      </w:r>
    </w:p>
    <w:p>
      <w:pPr>
        <w:spacing w:line="240" w:lineRule="auto" w:before="0" w:after="40"/>
        <w:ind w:left="432" w:hanging="432"/>
        <w:jc w:val="both"/>
      </w:pPr>
      <w:r>
        <w:rPr>
          <w:b/>
          <w:sz w:val="16"/>
        </w:rPr>
        <w:t xml:space="preserve">[108] </w:t>
      </w:r>
      <w:r>
        <w:rPr>
          <w:sz w:val="16"/>
        </w:rPr>
        <w:t>Yeghiazaryan A.; Khechoyan K.; Nalbandyan G.; Muradyan S., "Tokengrid: Toward More Efficient Data Extraction From Unstructured Documents," IEEE Access, 2022, doi: 10.1109/access.2022.3164674.</w:t>
      </w:r>
    </w:p>
    <w:p>
      <w:pPr>
        <w:spacing w:line="240" w:lineRule="auto" w:before="0" w:after="40"/>
        <w:ind w:left="432" w:hanging="432"/>
        <w:jc w:val="both"/>
      </w:pPr>
      <w:r>
        <w:rPr>
          <w:b/>
          <w:sz w:val="16"/>
        </w:rPr>
        <w:t xml:space="preserve">[109] </w:t>
      </w:r>
      <w:r>
        <w:rPr>
          <w:sz w:val="16"/>
        </w:rPr>
        <w:t>Alshathri S.I.; Vincent D.J.; Hari V.S., "Denoising letter images from scanned invoices using stacked autoencoders," Computers, Materials and Continua, 2022, doi: 10.32604/cmc.2022.022458.</w:t>
      </w:r>
    </w:p>
    <w:p>
      <w:pPr>
        <w:spacing w:line="240" w:lineRule="auto" w:before="0" w:after="40"/>
        <w:ind w:left="432" w:hanging="432"/>
        <w:jc w:val="both"/>
      </w:pPr>
      <w:r>
        <w:rPr>
          <w:b/>
          <w:sz w:val="16"/>
        </w:rPr>
        <w:t xml:space="preserve">[110] </w:t>
      </w:r>
      <w:r>
        <w:rPr>
          <w:sz w:val="16"/>
        </w:rPr>
        <w:t>Kumar M.; Shalu; Dureja A., "OCR-CRNN (WBS): an optical character recognition system based on CRNN and CTC loss for document image processing," International Journal of Information Technology, 2025, doi: 10.1007/s41870-024-02381-8.</w:t>
      </w:r>
    </w:p>
    <w:p>
      <w:pPr>
        <w:spacing w:line="240" w:lineRule="auto" w:before="0" w:after="40"/>
        <w:ind w:left="432" w:hanging="432"/>
        <w:jc w:val="both"/>
      </w:pPr>
      <w:r>
        <w:rPr>
          <w:b/>
          <w:sz w:val="16"/>
        </w:rPr>
        <w:t xml:space="preserve">[111] </w:t>
      </w:r>
      <w:r>
        <w:rPr>
          <w:sz w:val="16"/>
        </w:rPr>
        <w:t>Carbonell M.; Fornés A.; Villegas M., "A neural model for text localization, transcription and named entity recognition in documents," Pattern Recognition Letters, 2020, doi: 10.1016/j.patrec.2020.05.029.</w:t>
      </w:r>
    </w:p>
    <w:p>
      <w:pPr>
        <w:spacing w:line="240" w:lineRule="auto" w:before="0" w:after="40"/>
        <w:ind w:left="432" w:hanging="432"/>
        <w:jc w:val="both"/>
      </w:pPr>
      <w:r>
        <w:rPr>
          <w:b/>
          <w:sz w:val="16"/>
        </w:rPr>
        <w:t xml:space="preserve">[112] </w:t>
      </w:r>
      <w:r>
        <w:rPr>
          <w:sz w:val="16"/>
        </w:rPr>
        <w:t>Tata S.; Potti N.; Wendt J.B.; Costa L.B.; Najork M.; Gunel B., "Glean: Structured extractions from templatic documents," Proceedings of the VLDB Endowment, 2021, doi: 10.14778/3447689.3447703.</w:t>
      </w:r>
    </w:p>
    <w:p>
      <w:pPr>
        <w:spacing w:line="240" w:lineRule="auto" w:before="0" w:after="40"/>
        <w:ind w:left="432" w:hanging="432"/>
        <w:jc w:val="both"/>
      </w:pPr>
      <w:r>
        <w:rPr>
          <w:b/>
          <w:sz w:val="16"/>
        </w:rPr>
        <w:t xml:space="preserve">[113] </w:t>
      </w:r>
      <w:r>
        <w:rPr>
          <w:sz w:val="16"/>
        </w:rPr>
        <w:t>Pan W.; Chen L.; Zhang R., "Automatic Recognition of Financial Instruments Based on Anisotropic Partial Differential Equations," Advances in Mathematical Physics, 2021, doi: 10.1155/2021/6529859.</w:t>
      </w:r>
    </w:p>
    <w:p>
      <w:pPr>
        <w:spacing w:line="240" w:lineRule="auto" w:before="0" w:after="40"/>
        <w:ind w:left="432" w:hanging="432"/>
        <w:jc w:val="both"/>
      </w:pPr>
      <w:r>
        <w:rPr>
          <w:b/>
          <w:sz w:val="16"/>
        </w:rPr>
        <w:t xml:space="preserve">[114] </w:t>
      </w:r>
      <w:r>
        <w:rPr>
          <w:sz w:val="16"/>
        </w:rPr>
        <w:t>Nguyen M.-T.; Le D.T.; Le L., "Transformers-based information extraction with limited data for domain-specific business documents," Engineering Applications of Artificial Intelligence, 2021, doi: 10.1016/j.engappai.2021.104273.</w:t>
      </w:r>
    </w:p>
    <w:p>
      <w:pPr>
        <w:spacing w:line="240" w:lineRule="auto" w:before="0" w:after="40"/>
        <w:ind w:left="432" w:hanging="432"/>
        <w:jc w:val="both"/>
      </w:pPr>
      <w:r>
        <w:rPr>
          <w:b/>
          <w:sz w:val="16"/>
        </w:rPr>
        <w:t xml:space="preserve">[115] </w:t>
      </w:r>
      <w:r>
        <w:rPr>
          <w:sz w:val="16"/>
        </w:rPr>
        <w:t>Hemmer A.; Coustaty M.; Bartolo N.; Ogier J.-M., "Neurosymbolic Information Extraction from Transactional Documents," International Journal on Document Analysis and Recognition, 2025, doi: 10.1007/s10032-025-00530-0.</w:t>
      </w:r>
    </w:p>
    <w:p>
      <w:pPr>
        <w:spacing w:line="240" w:lineRule="auto" w:before="0" w:after="40"/>
        <w:ind w:left="432" w:hanging="432"/>
        <w:jc w:val="both"/>
      </w:pPr>
      <w:r>
        <w:rPr>
          <w:b/>
          <w:sz w:val="16"/>
        </w:rPr>
        <w:t xml:space="preserve">[116] </w:t>
      </w:r>
      <w:r>
        <w:rPr>
          <w:sz w:val="16"/>
        </w:rPr>
        <w:t>Tobaben M.; Souibgui M.A.; Tito R.; Nguyen K.; Kerkouche R.; Jung K.; Jälkö J.; Kang L.; Barsky A.; D’andecy V.P.; Joseph A.; Muhamed A.; Kuo K.; Smith V.; Yamasaki Y.; Fukami T.; Niwa K.; Tyou I.; Ishii H.; Yokota R.; Ragul N.; Kutum R.; Llados J.; Valveny E.; Honkela A.; Fritz M.; Karatzas D., "NeurIPS 2023 Competition: Privacy Preserving Federated Learning Document VQA," Transactions on Machine Learning Research, 2025.</w:t>
      </w:r>
    </w:p>
    <w:p>
      <w:pPr>
        <w:spacing w:line="240" w:lineRule="auto" w:before="0" w:after="40"/>
        <w:ind w:left="432" w:hanging="432"/>
        <w:jc w:val="both"/>
      </w:pPr>
      <w:r>
        <w:rPr>
          <w:b/>
          <w:sz w:val="16"/>
        </w:rPr>
        <w:t xml:space="preserve">[117] </w:t>
      </w:r>
      <w:r>
        <w:rPr>
          <w:sz w:val="16"/>
        </w:rPr>
        <w:t>Huang F.; Rothenbusch J.; Schafer P., "Machine learning-powered automation for real estate document processing and information extraction," Journal of European Real Estate Research, 2025, doi: 10.1108/jerer-06-2024-0038.</w:t>
      </w:r>
    </w:p>
    <w:p>
      <w:pPr>
        <w:spacing w:line="240" w:lineRule="auto" w:before="0" w:after="40"/>
        <w:ind w:left="432" w:hanging="432"/>
        <w:jc w:val="both"/>
      </w:pPr>
      <w:r>
        <w:rPr>
          <w:b/>
          <w:sz w:val="16"/>
        </w:rPr>
        <w:t xml:space="preserve">[118] </w:t>
      </w:r>
      <w:r>
        <w:rPr>
          <w:sz w:val="16"/>
        </w:rPr>
        <w:t>Li D.-L.; Lee S.-K.; Liu Y.-H., "Printed document layout analysis and optical character recognition using deep learning," Scientific Reports, 2025, doi: 10.1038/s41598-025-86711-2.</w:t>
      </w:r>
    </w:p>
    <w:p>
      <w:pPr>
        <w:spacing w:line="240" w:lineRule="auto" w:before="0" w:after="40"/>
        <w:ind w:left="432" w:hanging="432"/>
        <w:jc w:val="both"/>
      </w:pPr>
      <w:r>
        <w:rPr>
          <w:b/>
          <w:sz w:val="16"/>
        </w:rPr>
        <w:t xml:space="preserve">[119] </w:t>
      </w:r>
      <w:r>
        <w:rPr>
          <w:sz w:val="16"/>
        </w:rPr>
        <w:t>Limam M.; Dhiaf M.; Kessentini Y., "Information extraction from multi-layout invoice images using FATURA dataset," Engineering Applications of Artificial Intelligence, 2025, doi: 10.1016/j.engappai.2025.110478.</w:t>
      </w:r>
    </w:p>
    <w:p>
      <w:pPr>
        <w:spacing w:line="240" w:lineRule="auto" w:before="0" w:after="40"/>
        <w:ind w:left="432" w:hanging="432"/>
        <w:jc w:val="both"/>
      </w:pPr>
      <w:r>
        <w:rPr>
          <w:b/>
          <w:sz w:val="16"/>
        </w:rPr>
        <w:t xml:space="preserve">[120] </w:t>
      </w:r>
      <w:r>
        <w:rPr>
          <w:sz w:val="16"/>
        </w:rPr>
        <w:t>Zhang Z.; Hu P.; Ma J.; Du J.; Zhang J.; Yin B.; Yin B.; Liu C., "SEMv2: Table separation line detection based on instance segmentation," Pattern Recognition, 2024, doi: 10.1016/j.patcog.2024.110279.</w:t>
      </w:r>
    </w:p>
    <w:p>
      <w:pPr>
        <w:spacing w:line="240" w:lineRule="auto" w:before="0" w:after="40"/>
        <w:ind w:left="432" w:hanging="432"/>
        <w:jc w:val="both"/>
      </w:pPr>
      <w:r>
        <w:rPr>
          <w:b/>
          <w:sz w:val="16"/>
        </w:rPr>
        <w:t xml:space="preserve">[121] </w:t>
      </w:r>
      <w:r>
        <w:rPr>
          <w:sz w:val="16"/>
        </w:rPr>
        <w:t>Lai P.; Mohan A.; Kim S.; Chu J.S.V.; Lee S.; Kafle P.; Wang P., "Customized Information Extraction and Processing Pipeline for Commercial Invoices," International Journal of Pattern Recognition and Artificial Intelligence, 2023, doi: 10.1142/s0218001423540137.</w:t>
      </w:r>
    </w:p>
    <w:p>
      <w:pPr>
        <w:spacing w:line="240" w:lineRule="auto" w:before="0" w:after="40"/>
        <w:ind w:left="432" w:hanging="432"/>
        <w:jc w:val="both"/>
      </w:pPr>
      <w:r>
        <w:rPr>
          <w:b/>
          <w:sz w:val="16"/>
        </w:rPr>
        <w:t xml:space="preserve">[122] </w:t>
      </w:r>
      <w:r>
        <w:rPr>
          <w:sz w:val="16"/>
        </w:rPr>
        <w:t>Situ X.; Liu T.; Yao H.; Shen J., "Document-Image Perceptual Hashing for Content Authentication and Integrity in Enterprise Archives," IEEE Transactions on Big Data, 2025, doi: 10.1109/tbdata.2025.3529811.</w:t>
      </w:r>
    </w:p>
    <w:p>
      <w:pPr>
        <w:spacing w:line="240" w:lineRule="auto" w:before="0" w:after="40"/>
        <w:ind w:left="432" w:hanging="432"/>
        <w:jc w:val="both"/>
      </w:pPr>
      <w:r>
        <w:rPr>
          <w:b/>
          <w:sz w:val="16"/>
        </w:rPr>
        <w:t xml:space="preserve">[123] </w:t>
      </w:r>
      <w:r>
        <w:rPr>
          <w:sz w:val="16"/>
        </w:rPr>
        <w:t>Nazir D.; Hashmi K.A.; Pagani A.; Liwicki M.; Stricker D., "Hybridtabnet: Towards better table detection in scanned document images," Applied Sciences, 2021, doi: 10.3390/app11188396.</w:t>
      </w:r>
    </w:p>
    <w:p>
      <w:pPr>
        <w:spacing w:line="240" w:lineRule="auto" w:before="0" w:after="40"/>
        <w:ind w:left="432" w:hanging="432"/>
        <w:jc w:val="both"/>
      </w:pPr>
      <w:r>
        <w:rPr>
          <w:b/>
          <w:sz w:val="16"/>
        </w:rPr>
        <w:t xml:space="preserve">[124] </w:t>
      </w:r>
      <w:r>
        <w:rPr>
          <w:sz w:val="16"/>
        </w:rPr>
        <w:t>Kayani M.; Ghafoor A.; Riaz M.M., "Multi-modal text recognition and encryption in scanned document images," Journal of Supercomputing, 2023, doi: 10.1007/s11227-022-04912-7.</w:t>
      </w:r>
    </w:p>
    <w:p>
      <w:pPr>
        <w:spacing w:line="240" w:lineRule="auto" w:before="0" w:after="40"/>
        <w:ind w:left="432" w:hanging="432"/>
        <w:jc w:val="both"/>
      </w:pPr>
      <w:r>
        <w:rPr>
          <w:b/>
          <w:sz w:val="16"/>
        </w:rPr>
        <w:t xml:space="preserve">[125] </w:t>
      </w:r>
      <w:r>
        <w:rPr>
          <w:sz w:val="16"/>
        </w:rPr>
        <w:t>Bao W.; Yang C.; Wen S.; Zeng M.; Guo J.; Zhong J.; Xu X., "A Novel Adaptive Deskewing Algorithm for Document Images," Sensors (Basel, Switzerland), 2022, doi: 10.3390/s22207944.</w:t>
      </w:r>
    </w:p>
    <w:p>
      <w:pPr>
        <w:spacing w:line="240" w:lineRule="auto" w:before="0" w:after="40"/>
        <w:ind w:left="432" w:hanging="432"/>
        <w:jc w:val="both"/>
      </w:pPr>
      <w:r>
        <w:rPr>
          <w:b/>
          <w:sz w:val="16"/>
        </w:rPr>
        <w:t xml:space="preserve">[126] </w:t>
      </w:r>
      <w:r>
        <w:rPr>
          <w:sz w:val="16"/>
        </w:rPr>
        <w:t>Aliwy A.H.; Al-Sadawi B., "Corpus-based technique for Improving Arabic OCR system," Indonesian Journal of Electrical Engineering and Computer Science, 2021, doi: 10.11591/ijeecs.v21.i1.pp233-241.</w:t>
      </w:r>
    </w:p>
    <w:p>
      <w:pPr>
        <w:spacing w:line="240" w:lineRule="auto" w:before="0" w:after="40"/>
        <w:ind w:left="432" w:hanging="432"/>
        <w:jc w:val="both"/>
      </w:pPr>
      <w:r>
        <w:rPr>
          <w:b/>
          <w:sz w:val="16"/>
        </w:rPr>
        <w:t xml:space="preserve">[127] </w:t>
      </w:r>
      <w:r>
        <w:rPr>
          <w:sz w:val="16"/>
        </w:rPr>
        <w:t>Azman N.A.; Mohamed A.; Jamil A.M., "Artificial Intelligence in Automated Bookkeeping: A Value-added Function for Small and Medium Enterprises," International Journal on Informatics Visualization, 2021, doi: 10.30630/joiv.5.3.669.</w:t>
      </w:r>
    </w:p>
    <w:p>
      <w:pPr>
        <w:spacing w:line="240" w:lineRule="auto" w:before="0" w:after="40"/>
        <w:ind w:left="432" w:hanging="432"/>
        <w:jc w:val="both"/>
      </w:pPr>
      <w:r>
        <w:rPr>
          <w:b/>
          <w:sz w:val="16"/>
        </w:rPr>
        <w:t xml:space="preserve">[128] </w:t>
      </w:r>
      <w:r>
        <w:rPr>
          <w:sz w:val="16"/>
        </w:rPr>
        <w:t>Wang H.; Zhu T.; Wang M.; Zhang G.; Chen W., "A prior information enhanced extraction framework for document-level financial event extraction," Data Intelligence, 2021, doi: 10.1162/dint_a_00103.</w:t>
      </w:r>
    </w:p>
    <w:p>
      <w:pPr>
        <w:spacing w:line="240" w:lineRule="auto" w:before="0" w:after="40"/>
        <w:ind w:left="432" w:hanging="432"/>
        <w:jc w:val="both"/>
      </w:pPr>
      <w:r>
        <w:rPr>
          <w:b/>
          <w:sz w:val="16"/>
        </w:rPr>
        <w:t xml:space="preserve">[129] </w:t>
      </w:r>
      <w:r>
        <w:rPr>
          <w:sz w:val="16"/>
        </w:rPr>
        <w:t>Baviskar D.; Ahirrao S.; Kotecha K., "Multi-layout invoice document dataset (Midd): A dataset for named entity recognition," Data, 2021, doi: 10.3390/data6070078.</w:t>
      </w:r>
    </w:p>
    <w:p>
      <w:pPr>
        <w:spacing w:line="240" w:lineRule="auto" w:before="0" w:after="40"/>
        <w:ind w:left="432" w:hanging="432"/>
        <w:jc w:val="both"/>
      </w:pPr>
      <w:r>
        <w:rPr>
          <w:b/>
          <w:sz w:val="16"/>
        </w:rPr>
        <w:t xml:space="preserve">[130] </w:t>
      </w:r>
      <w:r>
        <w:rPr>
          <w:sz w:val="16"/>
        </w:rPr>
        <w:t>Burdick D.; Danilevsky M.; Evfimievski A.V.; Katsis Y.; Wang N., "Table Extraction and Understanding for Scientific and Enterprise Applications," Proceedings of the VLDB Endowment, 2020, doi: 10.14778/3415478.3415563.</w:t>
      </w:r>
    </w:p>
    <w:p>
      <w:pPr>
        <w:spacing w:line="240" w:lineRule="auto" w:before="0" w:after="40"/>
        <w:ind w:left="432" w:hanging="432"/>
        <w:jc w:val="both"/>
      </w:pPr>
      <w:r>
        <w:rPr>
          <w:b/>
          <w:sz w:val="16"/>
        </w:rPr>
        <w:t xml:space="preserve">[131] </w:t>
      </w:r>
      <w:r>
        <w:rPr>
          <w:sz w:val="16"/>
        </w:rPr>
        <w:t>Sainz-De-Abajo B.; Garcia-Alonso J.M.; Berrocal-Olmeda J.J.; Laso-Mangas S.; De La Torre-Diez I., "FoodScan: Food Monitoring App by Scanning the Groceries Receipts," IEEE Access, 2020, doi: 10.1109/access.2020.3046031.</w:t>
      </w:r>
    </w:p>
    <w:p>
      <w:pPr>
        <w:spacing w:line="240" w:lineRule="auto" w:before="0" w:after="40"/>
        <w:ind w:left="432" w:hanging="432"/>
        <w:jc w:val="both"/>
      </w:pPr>
      <w:r>
        <w:rPr>
          <w:b/>
          <w:sz w:val="16"/>
        </w:rPr>
        <w:t xml:space="preserve">[132] </w:t>
      </w:r>
      <w:r>
        <w:rPr>
          <w:sz w:val="16"/>
        </w:rPr>
        <w:t>Ha H.T.; Horák A., "Information extraction from scanned invoice images using text analysis and layout features," Signal Processing: Image Communication, 2022, doi: 10.1016/j.image.2021.116601.</w:t>
      </w:r>
    </w:p>
    <w:p>
      <w:pPr>
        <w:spacing w:line="240" w:lineRule="auto" w:before="0" w:after="40"/>
        <w:ind w:left="432" w:hanging="432"/>
        <w:jc w:val="both"/>
      </w:pPr>
      <w:r>
        <w:rPr>
          <w:b/>
          <w:sz w:val="16"/>
        </w:rPr>
        <w:t xml:space="preserve">[133] </w:t>
      </w:r>
      <w:r>
        <w:rPr>
          <w:sz w:val="16"/>
        </w:rPr>
        <w:t>Gonçalves M.J.A.; da Silva A.C.F.; Ferreira C.G., "The Future of Accounting: How Will Digital Transformation Impact the Sector?," Informatics, 2022, doi: 10.3390/informatics9010019.</w:t>
      </w:r>
    </w:p>
    <w:p>
      <w:pPr>
        <w:sectPr>
          <w:headerReference w:type="default" r:id="rId10"/>
          <w:type w:val="continuous"/>
          <w:pgSz w:w="12240" w:h="15840"/>
          <w:pgMar w:top="1077" w:right="981" w:bottom="1440" w:left="981" w:header="720" w:footer="720" w:gutter="0"/>
          <w:cols w:space="266" w:num="2"/>
          <w:docGrid w:linePitch="360"/>
        </w:sectPr>
      </w:pPr>
    </w:p>
    <w:p>
      <w:pPr>
        <w:spacing w:before="120" w:after="80"/>
        <w:jc w:val="center"/>
      </w:pPr>
      <w:r>
        <w:rPr>
          <w:b/>
          <w:sz w:val="22"/>
        </w:rPr>
        <w:t>ANEXO METODOLÓGICO: DIAGRAMA DE FLUJO PRISMA 2020 OFICIAL</w:t>
      </w:r>
    </w:p>
    <w:p>
      <w:pPr>
        <w:spacing w:before="80" w:after="80"/>
        <w:jc w:val="center"/>
      </w:pPr>
      <w:r>
        <w:drawing>
          <wp:inline xmlns:a="http://schemas.openxmlformats.org/drawingml/2006/main" xmlns:pic="http://schemas.openxmlformats.org/drawingml/2006/picture">
            <wp:extent cx="6217920" cy="8194564"/>
            <wp:docPr id="1" name="Picture 1"/>
            <wp:cNvGraphicFramePr>
              <a:graphicFrameLocks noChangeAspect="1"/>
            </wp:cNvGraphicFramePr>
            <a:graphic>
              <a:graphicData uri="http://schemas.openxmlformats.org/drawingml/2006/picture">
                <pic:pic>
                  <pic:nvPicPr>
                    <pic:cNvPr id="0" name="diagrama_flujo_prisma_2020.png"/>
                    <pic:cNvPicPr/>
                  </pic:nvPicPr>
                  <pic:blipFill>
                    <a:blip r:embed="rId12"/>
                    <a:stretch>
                      <a:fillRect/>
                    </a:stretch>
                  </pic:blipFill>
                  <pic:spPr>
                    <a:xfrm>
                      <a:off x="0" y="0"/>
                      <a:ext cx="6217920" cy="8194564"/>
                    </a:xfrm>
                    <a:prstGeom prst="rect"/>
                  </pic:spPr>
                </pic:pic>
              </a:graphicData>
            </a:graphic>
          </wp:inline>
        </w:drawing>
      </w:r>
    </w:p>
    <w:p>
      <w:pPr>
        <w:spacing w:before="40" w:after="120"/>
        <w:jc w:val="center"/>
      </w:pPr>
      <w:r>
        <w:rPr>
          <w:b/>
          <w:sz w:val="18"/>
        </w:rPr>
        <w:t xml:space="preserve">Fig. 1. </w:t>
      </w:r>
      <w:r>
        <w:rPr>
          <w:i/>
          <w:sz w:val="18"/>
        </w:rPr>
        <w:t>Diagrama de flujo PRISMA 2020 detallado para la selección sistemática de estudios primarios (N = 131). Muestra la trazabilidad matemática desde la identificación bruta (577 registros de Scopus y Web of Science) hasta la inclusión final de estudios primarios de revista científica (con concordancia inter-evaluador κ = 0.92 en elegibilidad).</w:t>
      </w:r>
    </w:p>
    <w:sectPr w:rsidR="00FC693F" w:rsidRPr="0006063C" w:rsidSect="00034616">
      <w:headerReference w:type="default" r:id="rId11"/>
      <w:pgSz w:w="12240" w:h="15840"/>
      <w:pgMar w:top="1077" w:right="981" w:bottom="1440" w:left="981" w:header="720" w:footer="720" w:gutter="0"/>
      <w:cols w:space="266"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808080"/>
        <w:sz w:val="15"/>
      </w:rPr>
      <w:t>SECCIÓN II: METODOLOGÍA DE REVISIÓN SISTEMÁTICA (PRISMA 2020 / KITCHENHAM) | UTP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808080"/>
        <w:sz w:val="15"/>
      </w:rPr>
      <w:t>SECCIÓN II: METODOLOGÍA DE REVISIÓN SISTEMÁTICA (PRISMA 2020 / KITCHENHAM) | UTP 2026</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808080"/>
        <w:sz w:val="15"/>
      </w:rPr>
      <w:t>SECCIÓN II: METODOLOGÍA DE REVISIÓN SISTEMÁTICA (PRISMA 2020 / KITCHENHAM) | UTP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40"/>
      <w:jc w:val="both"/>
    </w:pPr>
    <w:rPr>
      <w:rFonts w:ascii="Times New Roman" w:hAnsi="Times New Roman"/>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