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0"/>
        </w:rPr>
        <w:t>UNIVERSIDAD TECNOLÓGICA DEL PERÚ</w:t>
        <w:br/>
        <w:t>FACULTAD DE INGENIERÍA DE SISTEMAS Y ELECTRÓNICA</w:t>
      </w:r>
    </w:p>
    <w:p>
      <w:pPr>
        <w:spacing w:before="240" w:after="160"/>
        <w:jc w:val="center"/>
      </w:pPr>
      <w:r>
        <w:rPr>
          <w:rFonts w:ascii="Times New Roman" w:hAnsi="Times New Roman"/>
          <w:b/>
          <w:sz w:val="48"/>
        </w:rPr>
        <w:t>Metodología de la Revisión Sistemática de Literatura (RSL): Inteligencia Artificial para la Automatización del Registro y Validación de Documentos Empresariales</w:t>
      </w:r>
    </w:p>
    <w:p>
      <w:pPr>
        <w:spacing w:before="80" w:after="40"/>
        <w:jc w:val="center"/>
      </w:pPr>
      <w:r>
        <w:rPr>
          <w:rFonts w:ascii="Times New Roman" w:hAnsi="Times New Roman"/>
          <w:b/>
          <w:sz w:val="22"/>
        </w:rPr>
        <w:t>Formación para la Investigación (2026-1)</w:t>
      </w:r>
    </w:p>
    <w:p>
      <w:pPr>
        <w:spacing w:before="0" w:after="280"/>
        <w:jc w:val="center"/>
      </w:pPr>
      <w:r>
        <w:rPr>
          <w:rFonts w:ascii="Times New Roman" w:hAnsi="Times New Roman"/>
          <w:i/>
          <w:sz w:val="19"/>
        </w:rPr>
        <w:t>Facultad de Ingeniería de Sistemas y Electrónica, Universidad Tecnológica del Perú, Lima, Perú</w:t>
        <w:br/>
        <w:t>Docente Asesor: Jimmy Sánchez Portugal | Fecha de consultas: 21 de septiembre de 2026 | Corpus final: N = 110 estudios primarios (4 estudios nucleares)</w:t>
      </w:r>
    </w:p>
    <w:p>
      <w:pPr>
        <w:sectPr>
          <w:headerReference w:type="default" r:id="rId9"/>
          <w:footerReference w:type="default" r:id="rId10"/>
          <w:pgSz w:w="12240" w:h="15840"/>
          <w:pgMar w:top="1077" w:right="981" w:bottom="1440" w:left="981" w:header="720" w:footer="720" w:gutter="0"/>
          <w:cols w:space="240" w:num="1"/>
          <w:docGrid w:linePitch="360"/>
        </w:sectPr>
      </w:pPr>
    </w:p>
    <w:p>
      <w:pPr>
        <w:keepNext/>
        <w:spacing w:before="200" w:after="80"/>
        <w:ind w:firstLine="0"/>
        <w:jc w:val="center"/>
      </w:pPr>
      <w:r>
        <w:rPr>
          <w:rFonts w:ascii="Times New Roman" w:hAnsi="Times New Roman"/>
          <w:b/>
          <w:sz w:val="20"/>
        </w:rPr>
        <w:t>I. PASO 0: ENCUADRE METODOLÓGICO Y ESTÁNDARES DE INVESTIGACIÓN</w:t>
      </w:r>
    </w:p>
    <w:p>
      <w:pPr>
        <w:spacing w:line="240" w:lineRule="auto" w:before="0" w:after="0"/>
        <w:ind w:firstLine="200"/>
        <w:jc w:val="both"/>
      </w:pPr>
      <w:r>
        <w:rPr>
          <w:rFonts w:ascii="Times New Roman" w:hAnsi="Times New Roman"/>
          <w:i w:val="0"/>
          <w:sz w:val="20"/>
        </w:rPr>
        <w:t>La presente Revisión Sistemática de Literatura (RSL) se diseña, conduce y valida rigurosamente bajo las directrices metodológicas de Kitchenham &amp; Charters (2007) para la ingeniería de software y sistemas de información, y se reporta conforme al estándar internacional de la declaración PRISMA 2020 (Preferred Reporting Items for Systematic Reviews and Meta-Analyses).</w:t>
      </w:r>
    </w:p>
    <w:p>
      <w:pPr>
        <w:spacing w:line="240" w:lineRule="auto" w:before="0" w:after="0"/>
        <w:ind w:firstLine="200"/>
        <w:jc w:val="both"/>
      </w:pPr>
      <w:r>
        <w:rPr>
          <w:rFonts w:ascii="Times New Roman" w:hAnsi="Times New Roman"/>
          <w:i w:val="0"/>
          <w:sz w:val="20"/>
        </w:rPr>
        <w:t>Para garantizar la máxima objetividad, la total reproducibilidad y la mitigación de sesgos de selección o confirmación, el protocolo de investigación (definición de preguntas de investigación, marco PICOC, criterios de elegibilidad, ecuaciones de búsqueda booleanas y formulario de extracción de datos) fue formulado y registrado a priori, previo a la ejecución de las consultas definitivas en los motores de búsqueda indexados.</w:t>
      </w:r>
    </w:p>
    <w:p>
      <w:pPr>
        <w:keepNext/>
        <w:spacing w:before="200" w:after="80"/>
        <w:ind w:firstLine="0"/>
        <w:jc w:val="center"/>
      </w:pPr>
      <w:r>
        <w:rPr>
          <w:rFonts w:ascii="Times New Roman" w:hAnsi="Times New Roman"/>
          <w:b/>
          <w:sz w:val="20"/>
        </w:rPr>
        <w:t>II. PASO 1: TEMA DE PARTIDA Y DELIMITACIÓN DEL ESTUDIO</w:t>
      </w:r>
    </w:p>
    <w:p>
      <w:pPr>
        <w:spacing w:line="240" w:lineRule="auto" w:before="0" w:after="0"/>
        <w:ind w:firstLine="200"/>
        <w:jc w:val="both"/>
      </w:pPr>
      <w:r>
        <w:rPr>
          <w:rFonts w:ascii="Times New Roman" w:hAnsi="Times New Roman"/>
          <w:i w:val="0"/>
          <w:sz w:val="20"/>
        </w:rPr>
        <w:t>El estudio aborda la aplicación de la Inteligencia Artificial (IA) y el Procesamiento Inteligente de Documentos (IDP / Intelligent Document Processing) en la automatización del registro y la validación de documentos en entornos empresariales.</w:t>
      </w:r>
    </w:p>
    <w:p>
      <w:pPr>
        <w:spacing w:line="240" w:lineRule="auto" w:before="40" w:after="0"/>
        <w:ind w:firstLine="200"/>
        <w:jc w:val="both"/>
      </w:pPr>
      <w:r>
        <w:rPr>
          <w:rFonts w:ascii="Times New Roman" w:hAnsi="Times New Roman"/>
          <w:i/>
          <w:sz w:val="20"/>
        </w:rPr>
        <w:t xml:space="preserve">1) Delimitación Positiva: </w:t>
      </w:r>
      <w:r>
        <w:rPr>
          <w:rFonts w:ascii="Times New Roman" w:hAnsi="Times New Roman"/>
          <w:sz w:val="20"/>
        </w:rPr>
        <w:t>Sistemas de información empresariales (Enterprise Resource Planning - ERP, Customer Relationship Management - CRM, Document Management Systems - DMS) y flujos internos de validación contable, financiera y operativa estrictamente corporativos.</w:t>
      </w:r>
    </w:p>
    <w:p>
      <w:pPr>
        <w:spacing w:line="240" w:lineRule="auto" w:before="40" w:after="0"/>
        <w:ind w:firstLine="200"/>
        <w:jc w:val="both"/>
      </w:pPr>
      <w:r>
        <w:rPr>
          <w:rFonts w:ascii="Times New Roman" w:hAnsi="Times New Roman"/>
          <w:i/>
          <w:sz w:val="20"/>
        </w:rPr>
        <w:t xml:space="preserve">2) Delimitación Negativa: </w:t>
      </w:r>
      <w:r>
        <w:rPr>
          <w:rFonts w:ascii="Times New Roman" w:hAnsi="Times New Roman"/>
          <w:sz w:val="20"/>
        </w:rPr>
        <w:t>Se excluyen expresamente los sistemas de administración pública y gubernamental, servicios de atención ciudadana y registros médicos/clínicos no equiparables a flujos empresariales, debido a que obedecen a marcos regulatorios, tipologías documentales y volumetrías operativas sustancialmente distintas.</w:t>
      </w:r>
    </w:p>
    <w:p>
      <w:pPr>
        <w:keepNext/>
        <w:spacing w:before="200" w:after="80"/>
        <w:ind w:firstLine="0"/>
        <w:jc w:val="center"/>
      </w:pPr>
      <w:r>
        <w:rPr>
          <w:rFonts w:ascii="Times New Roman" w:hAnsi="Times New Roman"/>
          <w:b/>
          <w:sz w:val="20"/>
        </w:rPr>
        <w:t>III. PASO 2: DELIMITACIÓN DE LOS COMPONENTES PICOC</w:t>
      </w:r>
    </w:p>
    <w:p>
      <w:pPr>
        <w:spacing w:line="240" w:lineRule="auto" w:before="0" w:after="0"/>
        <w:ind w:firstLine="200"/>
        <w:jc w:val="both"/>
      </w:pPr>
      <w:r>
        <w:rPr>
          <w:rFonts w:ascii="Times New Roman" w:hAnsi="Times New Roman"/>
          <w:i w:val="0"/>
          <w:sz w:val="20"/>
        </w:rPr>
        <w:t>Para estructurar la búsqueda sistemática y garantizar la cobertura exhaustiva y auditable de los elementos constitutivos del problema, se implementa el marco metodológico extendido PICOC (Población, Intervención, Comparación, Outcome/Resultado y Contexto), detallado en la Tabla I:</w:t>
      </w:r>
    </w:p>
    <w:p>
      <w:pPr>
        <w:keepNext/>
        <w:spacing w:before="160" w:after="20"/>
        <w:ind w:firstLine="0"/>
        <w:jc w:val="center"/>
      </w:pPr>
      <w:r>
        <w:rPr>
          <w:rFonts w:ascii="Times New Roman" w:hAnsi="Times New Roman"/>
          <w:b/>
          <w:sz w:val="16"/>
        </w:rPr>
        <w:t>TABLA I</w:t>
      </w:r>
    </w:p>
    <w:p>
      <w:pPr>
        <w:keepNext/>
        <w:spacing w:before="0" w:after="80"/>
        <w:ind w:firstLine="0"/>
        <w:jc w:val="center"/>
      </w:pPr>
      <w:r>
        <w:rPr>
          <w:rFonts w:ascii="Times New Roman" w:hAnsi="Times New Roman"/>
          <w:b/>
          <w:sz w:val="16"/>
        </w:rPr>
        <w:t>COMPONENTES DEL MARCO PICOC Y DEFINICIÓN OPERATIVA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144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Componente</w:t>
            </w:r>
          </w:p>
        </w:tc>
        <w:tc>
          <w:tcPr>
            <w:tcW w:type="dxa" w:w="187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Definición Operativa en este Estudio</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Justificación Metodológica</w:t>
            </w:r>
          </w:p>
        </w:tc>
      </w:tr>
      <w:tr>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 — Población / Problema</w:t>
            </w:r>
          </w:p>
        </w:tc>
        <w:tc>
          <w:tcPr>
            <w:tcW w:type="dxa" w:w="187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Sistemas de información empresariales (ERP, CRM, DMS) y flujos internos de registro y validación documental.</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Representa el entorno operativo y tecnológico donde se generan cuellos de botella por el ingreso manual y la heterogeneidad de formatos.</w:t>
            </w:r>
          </w:p>
        </w:tc>
      </w:tr>
      <w:tr>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 — Intervención</w:t>
            </w:r>
          </w:p>
        </w:tc>
        <w:tc>
          <w:tcPr>
            <w:tcW w:type="dxa" w:w="187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Arquitecturas de Inteligencia Artificial para IDP (IA-OCR, KIE, modelos basados en secuencias, grafos, transformers multimodales y LLMs).</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Constituye la tecnología y enfoque algorítmico cuyo impacto y eficacia se analizan en la literatura.</w:t>
            </w:r>
          </w:p>
        </w:tc>
      </w:tr>
      <w:tr>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 — Comparación</w:t>
            </w:r>
          </w:p>
        </w:tc>
        <w:tc>
          <w:tcPr>
            <w:tcW w:type="dxa" w:w="187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Ingreso manual de datos o procesamiento convencional basado en reglas y plantillas rígidas.</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Establece la línea base convencional frente a la cual se contrasta la ganancia en precisión, tiempo y costos.</w:t>
            </w:r>
          </w:p>
        </w:tc>
      </w:tr>
      <w:tr>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O — Resultado / Outcome</w:t>
            </w:r>
          </w:p>
        </w:tc>
        <w:tc>
          <w:tcPr>
            <w:tcW w:type="dxa" w:w="187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Grado de automatización, reducción de la carga operativa, precisión en la extracción (F1-score, exactitud) y velocidad/tiempo de respuesta.</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Variables cuantitativas y métricas de rendimiento clave para evaluar la viabilidad y el retorno operativo.</w:t>
            </w:r>
          </w:p>
        </w:tc>
      </w:tr>
      <w:tr>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 — Contexto</w:t>
            </w:r>
          </w:p>
        </w:tc>
        <w:tc>
          <w:tcPr>
            <w:tcW w:type="dxa" w:w="187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Entornos corporativos privados y ventana temporal 2020–2025.</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Delimita el dominio de aplicación y el período de maduración de los modelos de aprendizaje profundo y multimodales.</w:t>
            </w:r>
          </w:p>
        </w:tc>
      </w:tr>
    </w:tbl>
    <w:p>
      <w:pPr>
        <w:keepNext/>
        <w:spacing w:before="200" w:after="80"/>
        <w:ind w:firstLine="0"/>
        <w:jc w:val="center"/>
      </w:pPr>
      <w:r>
        <w:rPr>
          <w:rFonts w:ascii="Times New Roman" w:hAnsi="Times New Roman"/>
          <w:b/>
          <w:sz w:val="20"/>
        </w:rPr>
        <w:t>IV. PASO 3: PREGUNTA MAESTRA DE INVESTIGACIÓN</w:t>
      </w:r>
    </w:p>
    <w:p>
      <w:pPr>
        <w:spacing w:line="240" w:lineRule="auto" w:before="0" w:after="0"/>
        <w:ind w:firstLine="200"/>
        <w:jc w:val="both"/>
      </w:pPr>
      <w:r>
        <w:rPr>
          <w:rFonts w:ascii="Times New Roman" w:hAnsi="Times New Roman"/>
          <w:i w:val="0"/>
          <w:sz w:val="20"/>
        </w:rPr>
        <w:t>La formulación de la pregunta maestra se rige bajo el criterio FINER (Factible, Interesante, Novedosa, Ética y Relevante) y sintetiza los cinco componentes del marco PICOC en una única formulación integral:</w:t>
      </w:r>
    </w:p>
    <w:p>
      <w:pPr>
        <w:spacing w:line="240" w:lineRule="auto" w:before="0" w:after="0"/>
        <w:ind w:firstLine="200"/>
        <w:jc w:val="both"/>
      </w:pPr>
      <w:r>
        <w:rPr>
          <w:rFonts w:ascii="Times New Roman" w:hAnsi="Times New Roman"/>
          <w:i/>
          <w:sz w:val="20"/>
        </w:rPr>
        <w:t>«¿Cuál es el impacto de las arquitecturas de Inteligencia Artificial y Procesamiento Inteligente de Documentos (IDP), frente al ingreso manual y enfoques basados en reglas, sobre la precisión, la velocidad y la reducción de la carga operativa en el registro y validación documental dentro de sistemas empresariales, entre 2020 y 2025?»</w:t>
      </w:r>
    </w:p>
    <w:p>
      <w:pPr>
        <w:keepNext/>
        <w:spacing w:before="200" w:after="80"/>
        <w:ind w:firstLine="0"/>
        <w:jc w:val="center"/>
      </w:pPr>
      <w:r>
        <w:rPr>
          <w:rFonts w:ascii="Times New Roman" w:hAnsi="Times New Roman"/>
          <w:b/>
          <w:sz w:val="20"/>
        </w:rPr>
        <w:t>V. PASO 4: DESCOMPOSICIÓN EN PREGUNTAS DE INVESTIGACIÓN (PI)</w:t>
      </w:r>
    </w:p>
    <w:p>
      <w:pPr>
        <w:spacing w:line="240" w:lineRule="auto" w:before="0" w:after="0"/>
        <w:ind w:firstLine="200"/>
        <w:jc w:val="both"/>
      </w:pPr>
      <w:r>
        <w:rPr>
          <w:rFonts w:ascii="Times New Roman" w:hAnsi="Times New Roman"/>
          <w:i w:val="0"/>
          <w:sz w:val="20"/>
        </w:rPr>
        <w:t>A partir de los componentes PICOC, la pregunta maestra se descompone en cuatro Preguntas de Investigación (PI) temáticas que guían la extracción empírica y la síntesis técnica de la literatura (ver Tabla II):</w:t>
      </w:r>
    </w:p>
    <w:p>
      <w:pPr>
        <w:keepNext/>
        <w:spacing w:before="160" w:after="20"/>
        <w:ind w:firstLine="0"/>
        <w:jc w:val="center"/>
      </w:pPr>
      <w:r>
        <w:rPr>
          <w:rFonts w:ascii="Times New Roman" w:hAnsi="Times New Roman"/>
          <w:b/>
          <w:sz w:val="16"/>
        </w:rPr>
        <w:t>TABLA II</w:t>
      </w:r>
    </w:p>
    <w:p>
      <w:pPr>
        <w:keepNext/>
        <w:spacing w:before="0" w:after="80"/>
        <w:ind w:firstLine="0"/>
        <w:jc w:val="center"/>
      </w:pPr>
      <w:r>
        <w:rPr>
          <w:rFonts w:ascii="Times New Roman" w:hAnsi="Times New Roman"/>
          <w:b/>
          <w:sz w:val="16"/>
        </w:rPr>
        <w:t>PREGUNTAS DE INVESTIGACIÓN TEMÁTICAS (PI)</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331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 de Investigación Temática</w:t>
            </w:r>
          </w:p>
        </w:tc>
        <w:tc>
          <w:tcPr>
            <w:tcW w:type="dxa" w:w="100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PICOC</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PI1</w:t>
            </w:r>
          </w:p>
        </w:tc>
        <w:tc>
          <w:tcPr>
            <w:tcW w:type="dxa" w:w="331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¿Qué arquitecturas y enfoques algorítmicos de IA/IDP (secuencias, grafos, modelos generativos multimodales) se han implementado en el procesamiento de documentos empresariales?</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Intervención (I)</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PI2</w:t>
            </w:r>
          </w:p>
        </w:tc>
        <w:tc>
          <w:tcPr>
            <w:tcW w:type="dxa" w:w="331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¿Qué niveles de precisión (F1-score, exactitud) y velocidad/tiempo de resolución alcanzan estas arquitecturas en tareas de extracción de datos semiestructurados?</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Intervención + Outcome (I + 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PI3</w:t>
            </w:r>
          </w:p>
        </w:tc>
        <w:tc>
          <w:tcPr>
            <w:tcW w:type="dxa" w:w="331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¿Qué diferencias de desempeño, escalabilidad y costo operativo se reportan entre las soluciones basadas en IA y los métodos tradicionales o manuales?</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Intervención vs. Comparación (I vs. C)</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PI4</w:t>
            </w:r>
          </w:p>
        </w:tc>
        <w:tc>
          <w:tcPr>
            <w:tcW w:type="dxa" w:w="331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¿En qué tipologías documentales (facturas, recibos, formularios, contratos) y arquitecturas de sistemas empresariales (ERP/CRM) se han validado estas propuestas?</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Población / Contexto (P / C)</w:t>
            </w:r>
          </w:p>
        </w:tc>
      </w:tr>
    </w:tbl>
    <w:p>
      <w:pPr>
        <w:keepNext/>
        <w:spacing w:before="200" w:after="80"/>
        <w:ind w:firstLine="0"/>
        <w:jc w:val="center"/>
      </w:pPr>
      <w:r>
        <w:rPr>
          <w:rFonts w:ascii="Times New Roman" w:hAnsi="Times New Roman"/>
          <w:b/>
          <w:sz w:val="20"/>
        </w:rPr>
        <w:t>VI. PASO 5: PREGUNTAS DESCRIPTIVAS O BIBLIOMÉTRICAS (PD)</w:t>
      </w:r>
    </w:p>
    <w:p>
      <w:pPr>
        <w:spacing w:line="240" w:lineRule="auto" w:before="0" w:after="0"/>
        <w:ind w:firstLine="200"/>
        <w:jc w:val="both"/>
      </w:pPr>
      <w:r>
        <w:rPr>
          <w:rFonts w:ascii="Times New Roman" w:hAnsi="Times New Roman"/>
          <w:i w:val="0"/>
          <w:sz w:val="20"/>
        </w:rPr>
        <w:t>Con el propósito de caracterizar cuantitativamente el estado del arte y la evolución de la producción científica en el dominio evaluado, se formulan tres Preguntas Descriptivas (PD), presentadas en la Tabla III:</w:t>
      </w:r>
    </w:p>
    <w:p>
      <w:pPr>
        <w:keepNext/>
        <w:spacing w:before="160" w:after="20"/>
        <w:ind w:firstLine="0"/>
        <w:jc w:val="center"/>
      </w:pPr>
      <w:r>
        <w:rPr>
          <w:rFonts w:ascii="Times New Roman" w:hAnsi="Times New Roman"/>
          <w:b/>
          <w:sz w:val="16"/>
        </w:rPr>
        <w:t>TABLA III</w:t>
      </w:r>
    </w:p>
    <w:p>
      <w:pPr>
        <w:keepNext/>
        <w:spacing w:before="0" w:after="80"/>
        <w:ind w:firstLine="0"/>
        <w:jc w:val="center"/>
      </w:pPr>
      <w:r>
        <w:rPr>
          <w:rFonts w:ascii="Times New Roman" w:hAnsi="Times New Roman"/>
          <w:b/>
          <w:sz w:val="16"/>
        </w:rPr>
        <w:t>PREGUNTAS DESCRIPTIVAS O BIBLIOMÉTRICAS (PD)</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259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 Descriptiva / Bibliométrica</w:t>
            </w:r>
          </w:p>
        </w:tc>
        <w:tc>
          <w:tcPr>
            <w:tcW w:type="dxa" w:w="172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Propósito en la RSL</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PD1</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¿Cómo ha evolucionado el volumen de producción científica anual sobre IA aplicada a documentos empresariales entre 2020 y 2025?</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Identificar tendencias de publicación y puntos de inflexión temporal en el área.</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PD2</w:t>
            </w:r>
          </w:p>
        </w:tc>
        <w:tc>
          <w:tcPr>
            <w:tcW w:type="dxa" w:w="259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¿Qué autores, revistas/conferencias indexadas y países concentran la mayor productividad e impacto académico?</w:t>
            </w:r>
          </w:p>
        </w:tc>
        <w:tc>
          <w:tcPr>
            <w:tcW w:type="dxa" w:w="172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Mapear los núcleos de investigación y los canales de difusión de mayor relevancia.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PD3</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¿Qué tipos de diseño metodológico (estudios de caso, experimentos controlados, benchmarks) y datasets (públicos vs. privados) predominan en el corpus?</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Evaluar el nivel de madurez empírica y la transferibilidad de las soluciones al entorno industrial.</w:t>
            </w:r>
          </w:p>
        </w:tc>
      </w:tr>
    </w:tbl>
    <w:p>
      <w:pPr>
        <w:keepNext/>
        <w:spacing w:before="200" w:after="80"/>
        <w:ind w:firstLine="0"/>
        <w:jc w:val="center"/>
      </w:pPr>
      <w:r>
        <w:rPr>
          <w:rFonts w:ascii="Times New Roman" w:hAnsi="Times New Roman"/>
          <w:b/>
          <w:sz w:val="20"/>
        </w:rPr>
        <w:t>VII. PASO 6: TÉRMINOS DE BÚSQUEDA, MATRIZ DE DESCRIPTORES Y ECUACIONES LÓGICAS</w:t>
      </w:r>
    </w:p>
    <w:p>
      <w:pPr>
        <w:keepNext/>
        <w:spacing w:before="160" w:after="40"/>
        <w:ind w:firstLine="0"/>
        <w:jc w:val="left"/>
      </w:pPr>
      <w:r>
        <w:rPr>
          <w:rFonts w:ascii="Times New Roman" w:hAnsi="Times New Roman"/>
          <w:i/>
          <w:sz w:val="20"/>
        </w:rPr>
        <w:t>A. Matriz de Descriptores y Palabras Clave</w:t>
      </w:r>
    </w:p>
    <w:p>
      <w:pPr>
        <w:spacing w:line="240" w:lineRule="auto" w:before="0" w:after="0"/>
        <w:ind w:firstLine="200"/>
        <w:jc w:val="both"/>
      </w:pPr>
      <w:r>
        <w:rPr>
          <w:rFonts w:ascii="Times New Roman" w:hAnsi="Times New Roman"/>
          <w:i w:val="0"/>
          <w:sz w:val="20"/>
        </w:rPr>
        <w:t>A partir de los componentes PICOC, se derivaron sistemáticamente los términos clave, descriptores y sinónimos técnicos en inglés. Se estructuraron bloques conceptuales mediante el operador OR interno, aplicando comodines de truncamiento (*) para capturar variaciones gramaticales, y conectando los bloques principales mediante el operador booleano AND (ver Tabla IV).</w:t>
      </w:r>
    </w:p>
    <w:p>
      <w:pPr>
        <w:keepNext/>
        <w:spacing w:before="160" w:after="20"/>
        <w:ind w:firstLine="0"/>
        <w:jc w:val="center"/>
      </w:pPr>
      <w:r>
        <w:rPr>
          <w:rFonts w:ascii="Times New Roman" w:hAnsi="Times New Roman"/>
          <w:b/>
          <w:sz w:val="16"/>
        </w:rPr>
        <w:t>TABLA IV</w:t>
      </w:r>
    </w:p>
    <w:p>
      <w:pPr>
        <w:keepNext/>
        <w:spacing w:before="0" w:after="80"/>
        <w:ind w:firstLine="0"/>
        <w:jc w:val="center"/>
      </w:pPr>
      <w:r>
        <w:rPr>
          <w:rFonts w:ascii="Times New Roman" w:hAnsi="Times New Roman"/>
          <w:b/>
          <w:sz w:val="16"/>
        </w:rPr>
        <w:t>MATRIZ DE DESCRIPTORES Y PALABRAS CLAVE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Bloque</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Concepto Base</w:t>
            </w:r>
          </w:p>
        </w:tc>
        <w:tc>
          <w:tcPr>
            <w:tcW w:type="dxa" w:w="273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Descriptores en Inglés (con sinónimos y comodines)</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Sistemas empresariales y documentos</w:t>
            </w:r>
          </w:p>
        </w:tc>
        <w:tc>
          <w:tcPr>
            <w:tcW w:type="dxa" w:w="273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"business document*" OR "financial document*" OR "administrative document*" OR "invoice*" OR "receipt*" OR "document management" OR "business workflow*" OR "ERP" OR "enterprise system*"</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Inteligencia Artificial y Procesamiento de Documentos</w:t>
            </w:r>
          </w:p>
        </w:tc>
        <w:tc>
          <w:tcPr>
            <w:tcW w:type="dxa" w:w="273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"intelligent document processing" OR "IDP" OR "document AI" OR "document understanding" OR "key information extraction" OR "KIE" OR "LayoutLM*" OR "optical character recognition" OR "OCR" OR "information extraction"</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O / C</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Automatización, validación y desempeño</w:t>
            </w:r>
          </w:p>
        </w:tc>
        <w:tc>
          <w:tcPr>
            <w:tcW w:type="dxa" w:w="273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"automat*" OR "validat*" OR "extract*" OR "recognition" OR "accuracy" OR "efficiency" OR "workload"</w:t>
            </w:r>
          </w:p>
        </w:tc>
      </w:tr>
    </w:tbl>
    <w:p>
      <w:pPr>
        <w:keepNext/>
        <w:spacing w:before="160" w:after="40"/>
        <w:ind w:firstLine="0"/>
        <w:jc w:val="left"/>
      </w:pPr>
      <w:r>
        <w:rPr>
          <w:rFonts w:ascii="Times New Roman" w:hAnsi="Times New Roman"/>
          <w:i/>
          <w:sz w:val="20"/>
        </w:rPr>
        <w:t>B. Ecuación Booleana Principal Calibrada</w:t>
      </w:r>
    </w:p>
    <w:p>
      <w:pPr>
        <w:spacing w:line="240" w:lineRule="auto" w:before="0" w:after="0"/>
        <w:ind w:firstLine="200"/>
        <w:jc w:val="both"/>
      </w:pPr>
      <w:r>
        <w:rPr>
          <w:rFonts w:ascii="Times New Roman" w:hAnsi="Times New Roman"/>
          <w:i/>
          <w:sz w:val="20"/>
        </w:rPr>
        <w:t>("business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keepNext/>
        <w:spacing w:before="160" w:after="40"/>
        <w:ind w:firstLine="0"/>
        <w:jc w:val="left"/>
      </w:pPr>
      <w:r>
        <w:rPr>
          <w:rFonts w:ascii="Times New Roman" w:hAnsi="Times New Roman"/>
          <w:i/>
          <w:sz w:val="20"/>
        </w:rPr>
        <w:t>C. Adaptación Sintáctica por Base de Datos Indexada</w:t>
      </w:r>
    </w:p>
    <w:p>
      <w:pPr>
        <w:spacing w:line="240" w:lineRule="auto" w:before="40" w:after="0"/>
        <w:ind w:firstLine="200"/>
        <w:jc w:val="both"/>
      </w:pPr>
      <w:r>
        <w:rPr>
          <w:rFonts w:ascii="Times New Roman" w:hAnsi="Times New Roman"/>
          <w:i/>
          <w:sz w:val="20"/>
        </w:rPr>
        <w:t xml:space="preserve">1) Sintaxis en Scopus (TITLE-ABS-KEY): </w:t>
      </w:r>
      <w:r>
        <w:rPr>
          <w:rFonts w:ascii="Times New Roman" w:hAnsi="Times New Roman"/>
          <w:sz w:val="20"/>
        </w:rPr>
        <w:t>TITLE-ABS-KEY(("business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spacing w:line="240" w:lineRule="auto" w:before="40" w:after="0"/>
        <w:ind w:firstLine="200"/>
        <w:jc w:val="both"/>
      </w:pPr>
      <w:r>
        <w:rPr>
          <w:rFonts w:ascii="Times New Roman" w:hAnsi="Times New Roman"/>
          <w:i/>
          <w:sz w:val="20"/>
        </w:rPr>
        <w:t xml:space="preserve">2) Sintaxis en Web of Science (TS / Topic): </w:t>
      </w:r>
      <w:r>
        <w:rPr>
          <w:rFonts w:ascii="Times New Roman" w:hAnsi="Times New Roman"/>
          <w:sz w:val="20"/>
        </w:rPr>
        <w:t>TS=(("business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OR "NLP" OR "deep learning" OR "machine learning") AND ("automat*" OR "validat*" OR "extract*" OR "recognition" OR "accuracy" OR "efficiency" OR "workload"))</w:t>
      </w:r>
    </w:p>
    <w:p>
      <w:pPr>
        <w:keepNext/>
        <w:spacing w:before="160" w:after="40"/>
        <w:ind w:firstLine="0"/>
        <w:jc w:val="left"/>
      </w:pPr>
      <w:r>
        <w:rPr>
          <w:rFonts w:ascii="Times New Roman" w:hAnsi="Times New Roman"/>
          <w:i/>
          <w:sz w:val="20"/>
        </w:rPr>
        <w:t>D. Registro de Ecuaciones Ejecutadas por Iteración</w:t>
      </w:r>
    </w:p>
    <w:p>
      <w:pPr>
        <w:spacing w:line="240" w:lineRule="auto" w:before="40" w:after="0"/>
        <w:ind w:firstLine="200"/>
        <w:jc w:val="both"/>
      </w:pPr>
      <w:r>
        <w:rPr>
          <w:rFonts w:ascii="Times New Roman" w:hAnsi="Times New Roman"/>
          <w:i/>
          <w:sz w:val="20"/>
        </w:rPr>
        <w:t xml:space="preserve">1) [EQ-IT1-SCOPUS] Iteración 1 — Scopus (Exploratoria / Restrictiva): </w:t>
      </w:r>
      <w:r>
        <w:rPr>
          <w:rFonts w:ascii="Times New Roman" w:hAnsi="Times New Roman"/>
          <w:sz w:val="20"/>
        </w:rPr>
        <w:t>TITLE-ABS-KEY(("enterprise information systems" OR "document management" OR "business workflows" OR "ERP" OR "invoice processing" OR "receipt processing") AND ("intelligent document processing" OR "IDP" OR "optical character recognition" OR "OCR" OR "information extraction" OR "key information extraction" OR "document AI" OR "LayoutLM") AND ("manual data entry" OR "manual processing" OR "traditional processing" OR "rule-based" OR "automation" OR "workload reduction" OR "efficiency" OR "accuracy"))</w:t>
      </w:r>
    </w:p>
    <w:p>
      <w:pPr>
        <w:spacing w:line="240" w:lineRule="auto" w:before="40" w:after="0"/>
        <w:ind w:firstLine="200"/>
        <w:jc w:val="both"/>
      </w:pPr>
      <w:r>
        <w:rPr>
          <w:rFonts w:ascii="Times New Roman" w:hAnsi="Times New Roman"/>
          <w:i/>
          <w:sz w:val="20"/>
        </w:rPr>
        <w:t xml:space="preserve">2) [EQ-IT2-SCOPUS] Iteración 2 — Scopus (Calibrada Definitiva): </w:t>
      </w:r>
      <w:r>
        <w:rPr>
          <w:rFonts w:ascii="Times New Roman" w:hAnsi="Times New Roman"/>
          <w:sz w:val="20"/>
        </w:rPr>
        <w:t>TITLE-ABS-KEY(("business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spacing w:line="240" w:lineRule="auto" w:before="40" w:after="0"/>
        <w:ind w:firstLine="200"/>
        <w:jc w:val="both"/>
      </w:pPr>
      <w:r>
        <w:rPr>
          <w:rFonts w:ascii="Times New Roman" w:hAnsi="Times New Roman"/>
          <w:i/>
          <w:sz w:val="20"/>
        </w:rPr>
        <w:t xml:space="preserve">3) [EQ-IT1-WOS] Iteración 1 — Web of Science (Exploratoria / Restrictiva): </w:t>
      </w:r>
      <w:r>
        <w:rPr>
          <w:rFonts w:ascii="Times New Roman" w:hAnsi="Times New Roman"/>
          <w:sz w:val="20"/>
        </w:rPr>
        <w:t>TS=(("business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spacing w:line="240" w:lineRule="auto" w:before="40" w:after="0"/>
        <w:ind w:firstLine="200"/>
        <w:jc w:val="both"/>
      </w:pPr>
      <w:r>
        <w:rPr>
          <w:rFonts w:ascii="Times New Roman" w:hAnsi="Times New Roman"/>
          <w:i/>
          <w:sz w:val="20"/>
        </w:rPr>
        <w:t xml:space="preserve">4) [EQ-IT2-WOS] Iteración 2 — Web of Science (Calibrada Definitiva): </w:t>
      </w:r>
      <w:r>
        <w:rPr>
          <w:rFonts w:ascii="Times New Roman" w:hAnsi="Times New Roman"/>
          <w:sz w:val="20"/>
        </w:rPr>
        <w:t>TS=(("business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OR "NLP" OR "deep learning" OR "machine learning") AND ("automat*" OR "validat*" OR "extract*" OR "recognition" OR "accuracy" OR "efficiency" OR "workload"))</w:t>
      </w:r>
    </w:p>
    <w:p>
      <w:pPr>
        <w:keepNext/>
        <w:spacing w:before="160" w:after="40"/>
        <w:ind w:firstLine="0"/>
        <w:jc w:val="left"/>
      </w:pPr>
      <w:r>
        <w:rPr>
          <w:rFonts w:ascii="Times New Roman" w:hAnsi="Times New Roman"/>
          <w:i/>
          <w:sz w:val="20"/>
        </w:rPr>
        <w:t>E. Trazabilidad de Iteraciones y Calibración Metodológica</w:t>
      </w:r>
    </w:p>
    <w:p>
      <w:pPr>
        <w:spacing w:line="240" w:lineRule="auto" w:before="0" w:after="0"/>
        <w:ind w:firstLine="200"/>
        <w:jc w:val="both"/>
      </w:pPr>
      <w:r>
        <w:rPr>
          <w:rFonts w:ascii="Times New Roman" w:hAnsi="Times New Roman"/>
          <w:i w:val="0"/>
          <w:sz w:val="20"/>
        </w:rPr>
        <w:t>Para calibrar la ecuación de búsqueda se ejecutaron dos iteraciones controladas, registrando los resultados brutos y el diagnóstico de exhaustividad (ver Tabla V):</w:t>
      </w:r>
    </w:p>
    <w:p>
      <w:pPr>
        <w:keepNext/>
        <w:spacing w:before="160" w:after="20"/>
        <w:ind w:firstLine="0"/>
        <w:jc w:val="center"/>
      </w:pPr>
      <w:r>
        <w:rPr>
          <w:rFonts w:ascii="Times New Roman" w:hAnsi="Times New Roman"/>
          <w:b/>
          <w:sz w:val="16"/>
        </w:rPr>
        <w:t>TABLA V</w:t>
      </w:r>
    </w:p>
    <w:p>
      <w:pPr>
        <w:keepNext/>
        <w:spacing w:before="0" w:after="80"/>
        <w:ind w:firstLine="0"/>
        <w:jc w:val="center"/>
      </w:pPr>
      <w:r>
        <w:rPr>
          <w:rFonts w:ascii="Times New Roman" w:hAnsi="Times New Roman"/>
          <w:b/>
          <w:sz w:val="16"/>
        </w:rPr>
        <w:t>TRAZABILIDAD DE ITERACIONES Y CALIBRACIÓN DE BÚSQUEDA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713"/>
        <w:gridCol w:w="1713"/>
        <w:gridCol w:w="1713"/>
        <w:gridCol w:w="1713"/>
        <w:gridCol w:w="1713"/>
        <w:gridCol w:w="1713"/>
      </w:tblGrid>
      <w:tr>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Base</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Iteración</w:t>
            </w:r>
          </w:p>
        </w:tc>
        <w:tc>
          <w:tcPr>
            <w:tcW w:type="dxa" w:w="100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Ecuación</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Brutos (n)</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Diagnóstico Metodológico</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Decisión</w:t>
            </w:r>
          </w:p>
        </w:tc>
      </w:tr>
      <w:tr>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Scopus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1</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[EQ-IT1-SCOPUS]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140</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Sobre-restringida: frases literales cerradas que limitaron la recuperación.</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Descartada</w:t>
            </w:r>
          </w:p>
        </w:tc>
      </w:tr>
      <w:tr>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Scopus</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Iteración 2</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[EQ-IT2-SCOPUS]</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863</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Óptima: uso de comodines (*), descriptores KIE y ampliación morfológica.</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Aprobada</w:t>
            </w:r>
          </w:p>
        </w:tc>
      </w:tr>
      <w:tr>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WoS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1</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[EQ-IT1-WOS]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123</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Sobre-restringida: sintaxis de campo TS excesivamente rígida frente a Scopus.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Descartada</w:t>
            </w:r>
          </w:p>
        </w:tc>
      </w:tr>
      <w:tr>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WoS</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Iteración 2</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[EQ-IT2-WOS]</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730</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Óptima: incorporación de sinónimos de intervención (NLP, deep learning).</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Aprobada</w:t>
            </w:r>
          </w:p>
        </w:tc>
      </w:tr>
    </w:tbl>
    <w:p>
      <w:pPr>
        <w:keepNext/>
        <w:spacing w:before="200" w:after="80"/>
        <w:ind w:firstLine="0"/>
        <w:jc w:val="center"/>
      </w:pPr>
      <w:r>
        <w:rPr>
          <w:rFonts w:ascii="Times New Roman" w:hAnsi="Times New Roman"/>
          <w:b/>
          <w:sz w:val="20"/>
        </w:rPr>
        <w:t>VIII. PASO 7: CRITERIOS DE INCLUSIÓN Y EXCLUSIÓN CODIFICADOS</w:t>
      </w:r>
    </w:p>
    <w:p>
      <w:pPr>
        <w:spacing w:line="240" w:lineRule="auto" w:before="0" w:after="0"/>
        <w:ind w:firstLine="200"/>
        <w:jc w:val="both"/>
      </w:pPr>
      <w:r>
        <w:rPr>
          <w:rFonts w:ascii="Times New Roman" w:hAnsi="Times New Roman"/>
          <w:i w:val="0"/>
          <w:sz w:val="20"/>
        </w:rPr>
        <w:t>Los criterios de elegibilidad se codificaron formalmente para garantizar la trazabilidad individual de cada exclusión e inclusión documental. Durante el flujo de trabajo, se aplican primero los filtros bibliométricos gruesos (año, tipo de documento, idioma) y posteriormente la elegibilidad temática a texto completo (ver Tabla VI).</w:t>
      </w:r>
    </w:p>
    <w:p>
      <w:pPr>
        <w:keepNext/>
        <w:spacing w:before="160" w:after="20"/>
        <w:ind w:firstLine="0"/>
        <w:jc w:val="center"/>
      </w:pPr>
      <w:r>
        <w:rPr>
          <w:rFonts w:ascii="Times New Roman" w:hAnsi="Times New Roman"/>
          <w:b/>
          <w:sz w:val="16"/>
        </w:rPr>
        <w:t>TABLA VI</w:t>
      </w:r>
    </w:p>
    <w:p>
      <w:pPr>
        <w:keepNext/>
        <w:spacing w:before="0" w:after="80"/>
        <w:ind w:firstLine="0"/>
        <w:jc w:val="center"/>
      </w:pPr>
      <w:r>
        <w:rPr>
          <w:rFonts w:ascii="Times New Roman" w:hAnsi="Times New Roman"/>
          <w:b/>
          <w:sz w:val="16"/>
        </w:rPr>
        <w:t>CRITERIOS DE INCLUSIÓN Y EXCLUSIÓN CODIFICADOS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Tipo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 de Elegibilidad</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Verificación / Evidencia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IN1</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Estudios publicados en la ventana temporal comprendida entre 2020 y 2025.</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Filtros nativos de plataforma en Scopus y Web of Science.</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IN2</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Artículos de revista revisados por pares (journal articles) o ponencias en congresos internacionales indexados (conference proceedings).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Filtro por tipo documental en metadatos de las bases.</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IN3</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Estudios indexados en las colecciones principales Scopus (Elsevier) o Web of Science Core Collection.</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Bases de datos indexadas suscritas institucionalmente.</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IN4</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Artículos que propongan, evalúen o comparen modelos de IA/IDP aplicados al registro, extracción o validación de documentos empresariales.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Cribado de título/resumen y evaluación a texto completo.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EX1</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Documentos publicados en idiomas distintos al inglés o español.</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Filtros lingüísticos en Scopus y Web of Science.</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EX2</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Publicaciones no disponibles a texto completo a través de accesos institucionales.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Verificación en Fase 3 de Elegibilidad (n = 5).</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EX3</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Literatura gris, preprints sin arbitraje por pares, notas editoriales o revisiones puramente teóricas sin validación empírica en documentos empresariales.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Descarte en filtros y exclusión en Elegibilidad (n = 8).</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EX4</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Estudios enfocados exclusivamente en trámites del sector público/gubernamental o registros médicos/clínicos no equiparables a flujos empresariales.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Exclusión durante el cribado de título/resumen (n = 680).</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EX-n</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Documentos que no aportan evidencia técnica a ninguna de las cuatro preguntas de investigación temáticas (PI1–PI4) o carecen de métricas reproducibles.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 en cribado (n = 65) y en elegibilidad (n = 7).</w:t>
            </w:r>
          </w:p>
        </w:tc>
      </w:tr>
    </w:tbl>
    <w:p>
      <w:pPr>
        <w:keepNext/>
        <w:spacing w:before="200" w:after="80"/>
        <w:ind w:firstLine="0"/>
        <w:jc w:val="center"/>
      </w:pPr>
      <w:r>
        <w:rPr>
          <w:rFonts w:ascii="Times New Roman" w:hAnsi="Times New Roman"/>
          <w:b/>
          <w:sz w:val="20"/>
        </w:rPr>
        <w:t>IX. PASO 8: BITÁCORA DE REDUCCIÓN DEL CORPUS Y EVIDENCIAS DE BÚSQUEDA</w:t>
      </w:r>
    </w:p>
    <w:p>
      <w:pPr>
        <w:keepNext/>
        <w:spacing w:before="160" w:after="40"/>
        <w:ind w:firstLine="0"/>
        <w:jc w:val="left"/>
      </w:pPr>
      <w:r>
        <w:rPr>
          <w:rFonts w:ascii="Times New Roman" w:hAnsi="Times New Roman"/>
          <w:i/>
          <w:sz w:val="20"/>
        </w:rPr>
        <w:t>A. Registro Maestro Consolidado por Base Indexada</w:t>
      </w:r>
    </w:p>
    <w:p>
      <w:pPr>
        <w:spacing w:line="240" w:lineRule="auto" w:before="0" w:after="0"/>
        <w:ind w:firstLine="200"/>
        <w:jc w:val="both"/>
      </w:pPr>
      <w:r>
        <w:rPr>
          <w:rFonts w:ascii="Times New Roman" w:hAnsi="Times New Roman"/>
          <w:i w:val="0"/>
          <w:sz w:val="20"/>
        </w:rPr>
        <w:t>Para asegurar la reproducibilidad temporal estricta exigida por PRISMA 2020, las consultas finales en ambas bases de datos se ejecutaron en una única fecha calendario: 21 de septiembre de 2026 (ver Tabla VII).</w:t>
      </w:r>
    </w:p>
    <w:p>
      <w:pPr>
        <w:keepNext/>
        <w:spacing w:before="160" w:after="20"/>
        <w:ind w:firstLine="0"/>
        <w:jc w:val="center"/>
      </w:pPr>
      <w:r>
        <w:rPr>
          <w:rFonts w:ascii="Times New Roman" w:hAnsi="Times New Roman"/>
          <w:b/>
          <w:sz w:val="16"/>
        </w:rPr>
        <w:t>TABLA VII</w:t>
      </w:r>
    </w:p>
    <w:p>
      <w:pPr>
        <w:keepNext/>
        <w:spacing w:before="0" w:after="80"/>
        <w:ind w:firstLine="0"/>
        <w:jc w:val="center"/>
      </w:pPr>
      <w:r>
        <w:rPr>
          <w:rFonts w:ascii="Times New Roman" w:hAnsi="Times New Roman"/>
          <w:b/>
          <w:sz w:val="16"/>
        </w:rPr>
        <w:t>REGISTRO MAESTRO CONSOLIDADO POR BASE INDEXADA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713"/>
        <w:gridCol w:w="1713"/>
        <w:gridCol w:w="1713"/>
        <w:gridCol w:w="1713"/>
        <w:gridCol w:w="1713"/>
        <w:gridCol w:w="1713"/>
      </w:tblGrid>
      <w:tr>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Base de Datos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Fecha</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Ecuación Aplicada</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Brutos (n)</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Filtros (n)</w:t>
            </w:r>
          </w:p>
        </w:tc>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Archivo Exportado</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Scopus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21/09/2026</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[EQ-IT2-SCOPUS] en TITLE-ABS-KEY</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863</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458</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scopus_export_it2.csv</w:t>
            </w:r>
          </w:p>
        </w:tc>
      </w:tr>
      <w:tr>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Web of Science</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21/09/2026</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[EQ-IT2-WOS] en TS</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730</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502</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wos_export_it2.xls</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Total Consolidado</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21/09/2026</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Ecuaciones calibradas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1,593</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960</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Archivos en inputs/</w:t>
            </w:r>
          </w:p>
        </w:tc>
      </w:tr>
    </w:tbl>
    <w:p>
      <w:pPr>
        <w:keepNext/>
        <w:spacing w:before="160" w:after="40"/>
        <w:ind w:firstLine="0"/>
        <w:jc w:val="left"/>
      </w:pPr>
      <w:r>
        <w:rPr>
          <w:rFonts w:ascii="Times New Roman" w:hAnsi="Times New Roman"/>
          <w:i/>
          <w:sz w:val="20"/>
        </w:rPr>
        <w:t>B. Bitácora de Filtros Nativos Paso a Paso en Scopus</w:t>
      </w:r>
    </w:p>
    <w:p>
      <w:pPr>
        <w:spacing w:line="240" w:lineRule="auto" w:before="0" w:after="0"/>
        <w:ind w:firstLine="200"/>
        <w:jc w:val="both"/>
      </w:pPr>
      <w:r>
        <w:rPr>
          <w:rFonts w:ascii="Times New Roman" w:hAnsi="Times New Roman"/>
          <w:i w:val="0"/>
          <w:sz w:val="20"/>
        </w:rPr>
        <w:t>La secuencia progresiva de reducción en Scopus se detalla en la Tabla VIII:</w:t>
      </w:r>
    </w:p>
    <w:p>
      <w:pPr>
        <w:keepNext/>
        <w:spacing w:before="160" w:after="20"/>
        <w:ind w:firstLine="0"/>
        <w:jc w:val="center"/>
      </w:pPr>
      <w:r>
        <w:rPr>
          <w:rFonts w:ascii="Times New Roman" w:hAnsi="Times New Roman"/>
          <w:b/>
          <w:sz w:val="16"/>
        </w:rPr>
        <w:t>TABLA VIII</w:t>
      </w:r>
    </w:p>
    <w:p>
      <w:pPr>
        <w:keepNext/>
        <w:spacing w:before="0" w:after="80"/>
        <w:ind w:firstLine="0"/>
        <w:jc w:val="center"/>
      </w:pPr>
      <w:r>
        <w:rPr>
          <w:rFonts w:ascii="Times New Roman" w:hAnsi="Times New Roman"/>
          <w:b/>
          <w:sz w:val="16"/>
        </w:rPr>
        <w:t>BITÁCORA DE FILTROS NATIVOS EN SCOPUS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Paso / Filtro</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Detalle del Filtro en Scopus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Restantes (n)</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Búsqueda inicial bruta</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2</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Ecuación calibrada sin filtros aplicados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863</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 Rango temporal</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IN1</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Años de publicación: 2020–2025</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492</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 Tipo de documento</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IN2 / EX3</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Articles (109) + Conference Papers (349)</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458</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 Idioma y Colección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IN3 / EX1</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English y Spanish / Scopus Core Elsevier</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458 (Exportados)</w:t>
            </w:r>
          </w:p>
        </w:tc>
      </w:tr>
    </w:tbl>
    <w:p>
      <w:pPr>
        <w:keepNext/>
        <w:spacing w:before="160" w:after="40"/>
        <w:ind w:firstLine="0"/>
        <w:jc w:val="left"/>
      </w:pPr>
      <w:r>
        <w:rPr>
          <w:rFonts w:ascii="Times New Roman" w:hAnsi="Times New Roman"/>
          <w:i/>
          <w:sz w:val="20"/>
        </w:rPr>
        <w:t>C. Bitácora de Filtros Nativos Paso a Paso en Web of Science</w:t>
      </w:r>
    </w:p>
    <w:p>
      <w:pPr>
        <w:spacing w:line="240" w:lineRule="auto" w:before="0" w:after="0"/>
        <w:ind w:firstLine="200"/>
        <w:jc w:val="both"/>
      </w:pPr>
      <w:r>
        <w:rPr>
          <w:rFonts w:ascii="Times New Roman" w:hAnsi="Times New Roman"/>
          <w:i w:val="0"/>
          <w:sz w:val="20"/>
        </w:rPr>
        <w:t>La secuencia progresiva de reducción en Web of Science se documenta en la Tabla IX:</w:t>
      </w:r>
    </w:p>
    <w:p>
      <w:pPr>
        <w:keepNext/>
        <w:spacing w:before="160" w:after="20"/>
        <w:ind w:firstLine="0"/>
        <w:jc w:val="center"/>
      </w:pPr>
      <w:r>
        <w:rPr>
          <w:rFonts w:ascii="Times New Roman" w:hAnsi="Times New Roman"/>
          <w:b/>
          <w:sz w:val="16"/>
        </w:rPr>
        <w:t>TABLA IX</w:t>
      </w:r>
    </w:p>
    <w:p>
      <w:pPr>
        <w:keepNext/>
        <w:spacing w:before="0" w:after="80"/>
        <w:ind w:firstLine="0"/>
        <w:jc w:val="center"/>
      </w:pPr>
      <w:r>
        <w:rPr>
          <w:rFonts w:ascii="Times New Roman" w:hAnsi="Times New Roman"/>
          <w:b/>
          <w:sz w:val="16"/>
        </w:rPr>
        <w:t>BITÁCORA DE FILTROS NATIVOS EN WEB OF SCIENCE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Paso / Filtro</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Detalle del Filtro en WoS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Restantes (n)</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Búsqueda inicial bruta</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2</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Ecuación calibrada sin filtros aplicados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730</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 Rango temporal</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IN1</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Años de publicación: 2020–2025</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536</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 Tipo de documento</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IN2 / EX3</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Articles indexados (502)</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502</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 Indexación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IN3</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Web of Science Core Collection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502 (Exportados)</w:t>
            </w:r>
          </w:p>
        </w:tc>
      </w:tr>
    </w:tbl>
    <w:p>
      <w:pPr>
        <w:keepNext/>
        <w:spacing w:before="200" w:after="80"/>
        <w:ind w:firstLine="0"/>
        <w:jc w:val="center"/>
      </w:pPr>
      <w:r>
        <w:rPr>
          <w:rFonts w:ascii="Times New Roman" w:hAnsi="Times New Roman"/>
          <w:b/>
          <w:sz w:val="20"/>
        </w:rPr>
        <w:t>X. PASO 9: FLUJO DE SELECCIÓN PRISMA 2020, CRIBADO Y EVALUACIÓN DE CALIDAD (QA)</w:t>
      </w:r>
    </w:p>
    <w:p>
      <w:pPr>
        <w:keepNext/>
        <w:spacing w:before="160" w:after="40"/>
        <w:ind w:firstLine="0"/>
        <w:jc w:val="left"/>
      </w:pPr>
      <w:r>
        <w:rPr>
          <w:rFonts w:ascii="Times New Roman" w:hAnsi="Times New Roman"/>
          <w:i/>
          <w:sz w:val="20"/>
        </w:rPr>
        <w:t>A. Fases del Flujo de Selección PRISMA 2020</w:t>
      </w:r>
    </w:p>
    <w:p>
      <w:pPr>
        <w:spacing w:line="240" w:lineRule="auto" w:before="0" w:after="0"/>
        <w:ind w:firstLine="200"/>
        <w:jc w:val="both"/>
      </w:pPr>
      <w:r>
        <w:rPr>
          <w:rFonts w:ascii="Times New Roman" w:hAnsi="Times New Roman"/>
          <w:i w:val="0"/>
          <w:sz w:val="20"/>
        </w:rPr>
        <w:t>El proceso de reducción cuantitativa se estructuró en las cuatro fases del estándar PRISMA 2020, garantizando una consistencia matemática estricta en cada transición (ver Tabla X y Fig. 1):</w:t>
      </w:r>
    </w:p>
    <w:p>
      <w:pPr>
        <w:keepNext/>
        <w:spacing w:before="160" w:after="20"/>
        <w:ind w:firstLine="0"/>
        <w:jc w:val="center"/>
      </w:pPr>
      <w:r>
        <w:rPr>
          <w:rFonts w:ascii="Times New Roman" w:hAnsi="Times New Roman"/>
          <w:b/>
          <w:sz w:val="16"/>
        </w:rPr>
        <w:t>TABLA X</w:t>
      </w:r>
    </w:p>
    <w:p>
      <w:pPr>
        <w:keepNext/>
        <w:spacing w:before="0" w:after="80"/>
        <w:ind w:firstLine="0"/>
        <w:jc w:val="center"/>
      </w:pPr>
      <w:r>
        <w:rPr>
          <w:rFonts w:ascii="Times New Roman" w:hAnsi="Times New Roman"/>
          <w:b/>
          <w:sz w:val="16"/>
        </w:rPr>
        <w:t>CUATRO FASES DEL FLUJO DE SELECCIÓN PRISMA 2020</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713"/>
        <w:gridCol w:w="1713"/>
        <w:gridCol w:w="1713"/>
        <w:gridCol w:w="1713"/>
        <w:gridCol w:w="1713"/>
        <w:gridCol w:w="1713"/>
      </w:tblGrid>
      <w:tr>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Fase PRISMA</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Entrada (n)</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Operación Metodológica</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Excluidos (n)</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Salida (n)</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Fase 1: Identificación</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1,593 brutos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Filtros nativos + Deduplicación cruzada (DOI y Levenshtein &gt;= 95%)</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IN1–IN3</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-85 duplicados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875 únicos</w:t>
            </w:r>
          </w:p>
        </w:tc>
      </w:tr>
      <w:tr>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Fase 2: Cribado</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875 únicos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Cribado por Título, Resumen y Palabras Clave</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EX4 y EX-n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-745 excluidos (680 EX4 + 65 EX-n)</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130 elegibles</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Fase 3: Elegibilidad</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130 elegibles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Lectura de Texto Completo y Evaluación QA (QA &gt;= 3.0)</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EX3, EX-n, EX2</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-20 excluidos (8 EX3 + 7 EX-n + 5 EX2)</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110 admitidos</w:t>
            </w:r>
          </w:p>
        </w:tc>
      </w:tr>
      <w:tr>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Fase 4: Inclusión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110 admitidos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Categorización y Mapeo Sistemático de Preguntas PI1–PI4</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Matriz PI</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0</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110 incluidos (Corpus Final)</w:t>
            </w:r>
          </w:p>
        </w:tc>
      </w:tr>
    </w:tbl>
    <w:p>
      <w:pPr>
        <w:spacing w:before="120" w:after="40"/>
        <w:ind w:firstLine="0"/>
        <w:jc w:val="center"/>
      </w:pPr>
      <w:r>
        <w:drawing>
          <wp:inline xmlns:a="http://schemas.openxmlformats.org/drawingml/2006/main" xmlns:pic="http://schemas.openxmlformats.org/drawingml/2006/picture">
            <wp:extent cx="3017520" cy="3976774"/>
            <wp:docPr id="1" name="Picture 1"/>
            <wp:cNvGraphicFramePr>
              <a:graphicFrameLocks noChangeAspect="1"/>
            </wp:cNvGraphicFramePr>
            <a:graphic>
              <a:graphicData uri="http://schemas.openxmlformats.org/drawingml/2006/picture">
                <pic:pic>
                  <pic:nvPicPr>
                    <pic:cNvPr id="0" name="diagrama_flujo_prisma_2020.png"/>
                    <pic:cNvPicPr/>
                  </pic:nvPicPr>
                  <pic:blipFill>
                    <a:blip r:embed="rId13"/>
                    <a:stretch>
                      <a:fillRect/>
                    </a:stretch>
                  </pic:blipFill>
                  <pic:spPr>
                    <a:xfrm>
                      <a:off x="0" y="0"/>
                      <a:ext cx="3017520" cy="3976774"/>
                    </a:xfrm>
                    <a:prstGeom prst="rect"/>
                  </pic:spPr>
                </pic:pic>
              </a:graphicData>
            </a:graphic>
          </wp:inline>
        </w:drawing>
      </w:r>
    </w:p>
    <w:p>
      <w:pPr>
        <w:keepNext w:val="0"/>
        <w:spacing w:before="80" w:after="160"/>
        <w:ind w:firstLine="0"/>
        <w:jc w:val="center"/>
      </w:pPr>
      <w:r>
        <w:rPr>
          <w:rFonts w:ascii="Times New Roman" w:hAnsi="Times New Roman"/>
          <w:b/>
          <w:sz w:val="16"/>
        </w:rPr>
        <w:t xml:space="preserve">Fig. 1. </w:t>
      </w:r>
      <w:r>
        <w:rPr>
          <w:rFonts w:ascii="Times New Roman" w:hAnsi="Times New Roman"/>
          <w:sz w:val="16"/>
        </w:rPr>
        <w:t>Flujo de selección y reducción del corpus documental según el estándar PRISMA 2020 (Fases 1 a 4).</w:t>
      </w:r>
    </w:p>
    <w:p>
      <w:pPr>
        <w:keepNext/>
        <w:spacing w:before="160" w:after="40"/>
        <w:ind w:firstLine="0"/>
        <w:jc w:val="left"/>
      </w:pPr>
      <w:r>
        <w:rPr>
          <w:rFonts w:ascii="Times New Roman" w:hAnsi="Times New Roman"/>
          <w:i/>
          <w:sz w:val="20"/>
        </w:rPr>
        <w:t>B. Protocolo de Cribado en Doble Ciego y Concordancia Inter-Evaluador</w:t>
      </w:r>
    </w:p>
    <w:p>
      <w:pPr>
        <w:spacing w:line="240" w:lineRule="auto" w:before="40" w:after="0"/>
        <w:ind w:firstLine="200"/>
        <w:jc w:val="both"/>
      </w:pPr>
      <w:r>
        <w:rPr>
          <w:rFonts w:ascii="Times New Roman" w:hAnsi="Times New Roman"/>
          <w:i/>
          <w:sz w:val="20"/>
        </w:rPr>
        <w:t xml:space="preserve">1) Deduplicación Automatizada: </w:t>
      </w:r>
      <w:r>
        <w:rPr>
          <w:rFonts w:ascii="Times New Roman" w:hAnsi="Times New Roman"/>
          <w:sz w:val="20"/>
        </w:rPr>
        <w:t>Se eliminaron 85 registros duplicados entre Scopus y Web of Science mediante coincidencia unívoca de DOI y distancia de Levenshtein normalizada (≥ 95%) sobre el título.</w:t>
      </w:r>
    </w:p>
    <w:p>
      <w:pPr>
        <w:spacing w:line="240" w:lineRule="auto" w:before="40" w:after="0"/>
        <w:ind w:firstLine="200"/>
        <w:jc w:val="both"/>
      </w:pPr>
      <w:r>
        <w:rPr>
          <w:rFonts w:ascii="Times New Roman" w:hAnsi="Times New Roman"/>
          <w:i/>
          <w:sz w:val="20"/>
        </w:rPr>
        <w:t xml:space="preserve">2) Evaluación en Doble Ciego: </w:t>
      </w:r>
      <w:r>
        <w:rPr>
          <w:rFonts w:ascii="Times New Roman" w:hAnsi="Times New Roman"/>
          <w:sz w:val="20"/>
        </w:rPr>
        <w:t>El cribado de los 875 títulos/resúmenes (Fase 2) y de los 130 textos completos (Fase 3) fue conducido en paralelo por dos revisores independientes bajo estricta aplicación de los criterios codificados.</w:t>
      </w:r>
    </w:p>
    <w:p>
      <w:pPr>
        <w:spacing w:line="240" w:lineRule="auto" w:before="40" w:after="0"/>
        <w:ind w:firstLine="200"/>
        <w:jc w:val="both"/>
      </w:pPr>
      <w:r>
        <w:rPr>
          <w:rFonts w:ascii="Times New Roman" w:hAnsi="Times New Roman"/>
          <w:i/>
          <w:sz w:val="20"/>
        </w:rPr>
        <w:t xml:space="preserve">3) Concordancia Inter-Evaluador (Kappa de Cohen): </w:t>
      </w:r>
      <w:r>
        <w:rPr>
          <w:rFonts w:ascii="Times New Roman" w:hAnsi="Times New Roman"/>
          <w:sz w:val="20"/>
        </w:rPr>
        <w:t>Las discrepancias se dirimieron mediante sesiones de consenso estructurado sobre el manuscrito original. La concordancia inter-evaluador previa a la reconciliación arrojó un coeficiente Kappa de Cohen κ = 0.86 en Fase 2 y κ = 0.91 en Fase 3, lo que califica como concordancia casi perfecta (&gt; 0.80) según la escala estándar de Landis &amp; Koch.</w:t>
      </w:r>
    </w:p>
    <w:p>
      <w:pPr>
        <w:keepNext/>
        <w:spacing w:before="160" w:after="40"/>
        <w:ind w:firstLine="0"/>
        <w:jc w:val="left"/>
      </w:pPr>
      <w:r>
        <w:rPr>
          <w:rFonts w:ascii="Times New Roman" w:hAnsi="Times New Roman"/>
          <w:i/>
          <w:sz w:val="20"/>
        </w:rPr>
        <w:t>C. Instrumento de Evaluación de Calidad Metodológica (QA)</w:t>
      </w:r>
    </w:p>
    <w:p>
      <w:pPr>
        <w:spacing w:line="240" w:lineRule="auto" w:before="0" w:after="0"/>
        <w:ind w:firstLine="200"/>
        <w:jc w:val="both"/>
      </w:pPr>
      <w:r>
        <w:rPr>
          <w:rFonts w:ascii="Times New Roman" w:hAnsi="Times New Roman"/>
          <w:i w:val="0"/>
          <w:sz w:val="20"/>
        </w:rPr>
        <w:t>Se diseñó y aplicó un instrumento de evaluación de calidad de 5 ítems basado en Kitchenham (QA1 a QA5). Cada artículo fue puntuado bajo una escala tripartita: Sí = 1.0 punto, Parcial = 0.5 puntos, No = 0.0 puntos (Puntuación máxima = 5.0 puntos; Umbral mínimo de admisión: QA ≥ 3.0 puntos), detallado en la Tabla XI:</w:t>
      </w:r>
    </w:p>
    <w:p>
      <w:pPr>
        <w:keepNext/>
        <w:spacing w:before="160" w:after="20"/>
        <w:ind w:firstLine="0"/>
        <w:jc w:val="center"/>
      </w:pPr>
      <w:r>
        <w:rPr>
          <w:rFonts w:ascii="Times New Roman" w:hAnsi="Times New Roman"/>
          <w:b/>
          <w:sz w:val="16"/>
        </w:rPr>
        <w:t>TABLA XI</w:t>
      </w:r>
    </w:p>
    <w:p>
      <w:pPr>
        <w:keepNext/>
        <w:spacing w:before="0" w:after="80"/>
        <w:ind w:firstLine="0"/>
        <w:jc w:val="center"/>
      </w:pPr>
      <w:r>
        <w:rPr>
          <w:rFonts w:ascii="Times New Roman" w:hAnsi="Times New Roman"/>
          <w:b/>
          <w:sz w:val="16"/>
        </w:rPr>
        <w:t>INSTRUMENTO DE EVALUACIÓN DE CALIDAD METODOLÓGICA (QA)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259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 de Evaluación de Calidad (QA)</w:t>
            </w:r>
          </w:p>
        </w:tc>
        <w:tc>
          <w:tcPr>
            <w:tcW w:type="dxa" w:w="172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 de Asignación de Puntaje</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QA1</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¿El estudio define claramente los objetivos de investigación y el problema de automatización documental?</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1.0: Objetivos y alcance explícitos.</w:t>
              <w:br/>
              <w:t>0.5: Objetivos genéricos o ambiguos.</w:t>
              <w:br/>
              <w:t>0.0: Sin formulación clara de objetivos.</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QA2</w:t>
            </w:r>
          </w:p>
        </w:tc>
        <w:tc>
          <w:tcPr>
            <w:tcW w:type="dxa" w:w="259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¿Se describe con suficiente detalle la arquitectura algorítmica de IA o el pipeline técnico propuesto?</w:t>
            </w:r>
          </w:p>
        </w:tc>
        <w:tc>
          <w:tcPr>
            <w:tcW w:type="dxa" w:w="172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1.0: Arquitectura, hiperparámetros o diagramas completos.</w:t>
              <w:br/>
              <w:t>0.5: Descripción superficial del modelo.</w:t>
              <w:br/>
              <w:t>0.0: Modelo 'caja negra' sin detalles.</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QA3</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¿El estudio especifica con precisión la tipología de documentos empresariales y los datasets utilizados?</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1.0: Dataset explícito con volumen y tipos documentales.</w:t>
              <w:br/>
              <w:t>0.5: Menciona tipos pero sin volumen ni fuente.</w:t>
              <w:br/>
              <w:t>0.0: No describe datos empleados.</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QA4</w:t>
            </w:r>
          </w:p>
        </w:tc>
        <w:tc>
          <w:tcPr>
            <w:tcW w:type="dxa" w:w="259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¿Se reportan métricas cuantitativas objetivas y reproducibles (F1-score, exactitud, latencia, tiempo)?</w:t>
            </w:r>
          </w:p>
        </w:tc>
        <w:tc>
          <w:tcPr>
            <w:tcW w:type="dxa" w:w="172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1.0: Reporta métricas estándar con datos numéricos.</w:t>
              <w:br/>
              <w:t>0.5: Métricas parciales o puramente cualitativas.</w:t>
              <w:br/>
              <w:t>0.0: Sin evaluación cuantitativa.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QA5</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¿Los resultados se contrastan críticamente frente a líneas base, métodos tradicionales (OCR/reglas) o trabajos previos?</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1.0: Comparación cuantitativa directa frente a baselines.</w:t>
              <w:br/>
              <w:t>0.5: Discusión comparativa solo narrativa.</w:t>
              <w:br/>
              <w:t>0.0: Sin contraste experimental.</w:t>
            </w:r>
          </w:p>
        </w:tc>
      </w:tr>
    </w:tbl>
    <w:p>
      <w:pPr>
        <w:keepNext/>
        <w:spacing w:before="160" w:after="40"/>
        <w:ind w:firstLine="0"/>
        <w:jc w:val="left"/>
      </w:pPr>
      <w:r>
        <w:rPr>
          <w:rFonts w:ascii="Times New Roman" w:hAnsi="Times New Roman"/>
          <w:i/>
          <w:sz w:val="20"/>
        </w:rPr>
        <w:t>D. Resultados del Control de Calidad Metodológica</w:t>
      </w:r>
    </w:p>
    <w:p>
      <w:pPr>
        <w:spacing w:line="240" w:lineRule="auto" w:before="0" w:after="0"/>
        <w:ind w:firstLine="200"/>
        <w:jc w:val="both"/>
      </w:pPr>
      <w:r>
        <w:rPr>
          <w:rFonts w:ascii="Times New Roman" w:hAnsi="Times New Roman"/>
          <w:i w:val="0"/>
          <w:sz w:val="20"/>
        </w:rPr>
        <w:t>La media general de QA para los 110 estudios primarios incluidos fue de 4.12 / 5.0 (Mediana = 4.0; Mínimo = 3.0; Máximo = 5.0). Los 4 estudios nucleares alcanzaron la calificación máxima perfecta de 5.0 / 5.0. Los 20 manuscritos excluidos en Fase 3 no alcanzaron el umbral mínimo (&lt; 3.0) o presentaron causales de exclusión formal directa (EX2, EX3, EX-n).</w:t>
      </w:r>
    </w:p>
    <w:p>
      <w:pPr>
        <w:keepNext/>
        <w:spacing w:before="200" w:after="80"/>
        <w:ind w:firstLine="0"/>
        <w:jc w:val="center"/>
      </w:pPr>
      <w:r>
        <w:rPr>
          <w:rFonts w:ascii="Times New Roman" w:hAnsi="Times New Roman"/>
          <w:b/>
          <w:sz w:val="20"/>
        </w:rPr>
        <w:t>XI. PASO 10: MATRIZ DE MAPEO ARTÍCULO × PREGUNTA DE INVESTIGACIÓN Y ALERTA DE INEDITUD</w:t>
      </w:r>
    </w:p>
    <w:p>
      <w:pPr>
        <w:keepNext/>
        <w:spacing w:before="160" w:after="40"/>
        <w:ind w:firstLine="0"/>
        <w:jc w:val="left"/>
      </w:pPr>
      <w:r>
        <w:rPr>
          <w:rFonts w:ascii="Times New Roman" w:hAnsi="Times New Roman"/>
          <w:i/>
          <w:sz w:val="20"/>
        </w:rPr>
        <w:t>A. Clasificación del Corpus Incluido (N = 110)</w:t>
      </w:r>
    </w:p>
    <w:p>
      <w:pPr>
        <w:spacing w:line="240" w:lineRule="auto" w:before="0" w:after="0"/>
        <w:ind w:firstLine="200"/>
        <w:jc w:val="both"/>
      </w:pPr>
      <w:r>
        <w:rPr>
          <w:rFonts w:ascii="Times New Roman" w:hAnsi="Times New Roman"/>
          <w:i w:val="0"/>
          <w:sz w:val="20"/>
        </w:rPr>
        <w:t>Los 110 estudios primarios incluidos fueron clasificados según su cobertura de las cuatro Preguntas de Investigación temáticas (PI1–PI4):</w:t>
      </w:r>
    </w:p>
    <w:p>
      <w:pPr>
        <w:spacing w:line="240" w:lineRule="auto" w:before="40" w:after="0"/>
        <w:ind w:firstLine="200"/>
        <w:jc w:val="both"/>
      </w:pPr>
      <w:r>
        <w:rPr>
          <w:rFonts w:ascii="Times New Roman" w:hAnsi="Times New Roman"/>
          <w:i/>
          <w:sz w:val="20"/>
        </w:rPr>
        <w:t xml:space="preserve">1) Estudios Nucleares (4/4 PIs — n = 4, 3.6%): </w:t>
      </w:r>
      <w:r>
        <w:rPr>
          <w:rFonts w:ascii="Times New Roman" w:hAnsi="Times New Roman"/>
          <w:sz w:val="20"/>
        </w:rPr>
        <w:t>Estudios que resuelven simultáneamente las cuatro preguntas temáticas (PI1, PI2, PI3 y PI4). Representan el núcleo de evidencia comparativa y cuantitativa de la revisión.</w:t>
      </w:r>
    </w:p>
    <w:p>
      <w:pPr>
        <w:spacing w:line="240" w:lineRule="auto" w:before="40" w:after="0"/>
        <w:ind w:firstLine="200"/>
        <w:jc w:val="both"/>
      </w:pPr>
      <w:r>
        <w:rPr>
          <w:rFonts w:ascii="Times New Roman" w:hAnsi="Times New Roman"/>
          <w:i/>
          <w:sz w:val="20"/>
        </w:rPr>
        <w:t xml:space="preserve">2) Estudios de Soporte Temático Avanzado (3/4 PIs — n = 32, 29.1%): </w:t>
      </w:r>
      <w:r>
        <w:rPr>
          <w:rFonts w:ascii="Times New Roman" w:hAnsi="Times New Roman"/>
          <w:sz w:val="20"/>
        </w:rPr>
        <w:t>Estudios que aportan evidencia empírica rigurosa en tres de las cuatro preguntas clave (ej. arquitectura + métricas + flujos de facturación).</w:t>
      </w:r>
    </w:p>
    <w:p>
      <w:pPr>
        <w:spacing w:line="240" w:lineRule="auto" w:before="40" w:after="0"/>
        <w:ind w:firstLine="200"/>
        <w:jc w:val="both"/>
      </w:pPr>
      <w:r>
        <w:rPr>
          <w:rFonts w:ascii="Times New Roman" w:hAnsi="Times New Roman"/>
          <w:i/>
          <w:sz w:val="20"/>
        </w:rPr>
        <w:t xml:space="preserve">3) Estudios de Soporte Algorítmico y Rendimiento (2/4 PIs — n = 48, 43.6%): </w:t>
      </w:r>
      <w:r>
        <w:rPr>
          <w:rFonts w:ascii="Times New Roman" w:hAnsi="Times New Roman"/>
          <w:sz w:val="20"/>
        </w:rPr>
        <w:t>Estudios focalizados en el diseño de modelos neuronales (PI1+PI2) o en la integración en plataformas empresariales ERP/CRM (PI1+PI4).</w:t>
      </w:r>
    </w:p>
    <w:p>
      <w:pPr>
        <w:spacing w:line="240" w:lineRule="auto" w:before="40" w:after="0"/>
        <w:ind w:firstLine="200"/>
        <w:jc w:val="both"/>
      </w:pPr>
      <w:r>
        <w:rPr>
          <w:rFonts w:ascii="Times New Roman" w:hAnsi="Times New Roman"/>
          <w:i/>
          <w:sz w:val="20"/>
        </w:rPr>
        <w:t xml:space="preserve">4) Estudios de Caracterización y Contexto (1/4 PIs — n = 26, 23.6%): </w:t>
      </w:r>
      <w:r>
        <w:rPr>
          <w:rFonts w:ascii="Times New Roman" w:hAnsi="Times New Roman"/>
          <w:sz w:val="20"/>
        </w:rPr>
        <w:t>Estudios que aportan caracterización de tipologías documentales o benchmarks de plataformas.</w:t>
      </w:r>
    </w:p>
    <w:p>
      <w:pPr>
        <w:keepNext/>
        <w:spacing w:before="160" w:after="40"/>
        <w:ind w:firstLine="0"/>
        <w:jc w:val="left"/>
      </w:pPr>
      <w:r>
        <w:rPr>
          <w:rFonts w:ascii="Times New Roman" w:hAnsi="Times New Roman"/>
          <w:i/>
          <w:sz w:val="20"/>
        </w:rPr>
        <w:t>B. Muestra Representativa de la Matriz de Mapeo</w:t>
      </w:r>
    </w:p>
    <w:p>
      <w:pPr>
        <w:spacing w:line="240" w:lineRule="auto" w:before="0" w:after="0"/>
        <w:ind w:firstLine="200"/>
        <w:jc w:val="both"/>
      </w:pPr>
      <w:r>
        <w:rPr>
          <w:rFonts w:ascii="Times New Roman" w:hAnsi="Times New Roman"/>
          <w:i w:val="0"/>
          <w:sz w:val="20"/>
        </w:rPr>
        <w:t>La Tabla XII resume la cobertura de las preguntas de investigación para los estudios nucleares y una muestra representativa del corpus:</w:t>
      </w:r>
    </w:p>
    <w:p>
      <w:pPr>
        <w:keepNext/>
        <w:spacing w:before="160" w:after="20"/>
        <w:ind w:firstLine="0"/>
        <w:jc w:val="center"/>
      </w:pPr>
      <w:r>
        <w:rPr>
          <w:rFonts w:ascii="Times New Roman" w:hAnsi="Times New Roman"/>
          <w:b/>
          <w:sz w:val="16"/>
        </w:rPr>
        <w:t>TABLA XII</w:t>
      </w:r>
    </w:p>
    <w:p>
      <w:pPr>
        <w:keepNext/>
        <w:spacing w:before="0" w:after="80"/>
        <w:ind w:firstLine="0"/>
        <w:jc w:val="center"/>
      </w:pPr>
      <w:r>
        <w:rPr>
          <w:rFonts w:ascii="Times New Roman" w:hAnsi="Times New Roman"/>
          <w:b/>
          <w:sz w:val="16"/>
        </w:rPr>
        <w:t>MUESTRA REPRESENTATIVA DE LA MATRIZ DE MAPEO DEL CORPUS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285"/>
        <w:gridCol w:w="1285"/>
        <w:gridCol w:w="1285"/>
        <w:gridCol w:w="1285"/>
        <w:gridCol w:w="1285"/>
        <w:gridCol w:w="1285"/>
        <w:gridCol w:w="1285"/>
        <w:gridCol w:w="1285"/>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ID</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Referencia Bibliográfica</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PI1</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PI2</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PI3</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PI4</w:t>
            </w:r>
          </w:p>
        </w:tc>
        <w:tc>
          <w:tcPr>
            <w:tcW w:type="dxa" w:w="43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Tot.</w:t>
            </w:r>
          </w:p>
        </w:tc>
        <w:tc>
          <w:tcPr>
            <w:tcW w:type="dxa" w:w="115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Clasificación</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[S001]</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Wei et al. (2020)</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[S002]</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Hwang et al. (2021)</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[S003]</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Devadarshini &amp; Karthikeyan (2025)</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[S004]</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Kirsch et al. (2025)</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[S005]</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Yu et al. (2025)</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[S006]</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Mifsud et al. (2025)</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[S007]</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Shanthi et al. (2025)</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[S010]</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Jena et al. (2023)</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[S037]</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Sara et al. (2022)</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Soporte Algorítmico</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[S050]</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Lee et al. (2024)</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2/4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Soporte ERP/Valid.</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[S085]</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Alla (2025)</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Caracteriz./ERP</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[S090]</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Cho et al. (2023)</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Caracteriz. Métr.</w:t>
            </w:r>
          </w:p>
        </w:tc>
      </w:tr>
    </w:tbl>
    <w:p>
      <w:pPr>
        <w:keepNext/>
        <w:spacing w:before="160" w:after="40"/>
        <w:ind w:firstLine="0"/>
        <w:jc w:val="left"/>
      </w:pPr>
      <w:r>
        <w:rPr>
          <w:rFonts w:ascii="Times New Roman" w:hAnsi="Times New Roman"/>
          <w:i/>
          <w:sz w:val="20"/>
        </w:rPr>
        <w:t>C. Protocolo ante la Alerta de Ineditud</w:t>
      </w:r>
    </w:p>
    <w:p>
      <w:pPr>
        <w:spacing w:line="240" w:lineRule="auto" w:before="0" w:after="0"/>
        <w:ind w:firstLine="200"/>
        <w:jc w:val="both"/>
      </w:pPr>
      <w:r>
        <w:rPr>
          <w:rFonts w:ascii="Times New Roman" w:hAnsi="Times New Roman"/>
          <w:i w:val="0"/>
          <w:sz w:val="20"/>
        </w:rPr>
        <w:t>Si durante la evaluación se identifica un documento que responda íntegramente a las cuatro preguntas de investigación:</w:t>
      </w:r>
    </w:p>
    <w:p>
      <w:pPr>
        <w:spacing w:line="240" w:lineRule="auto" w:before="40" w:after="0"/>
        <w:ind w:firstLine="200"/>
        <w:jc w:val="both"/>
      </w:pPr>
      <w:r>
        <w:rPr>
          <w:rFonts w:ascii="Times New Roman" w:hAnsi="Times New Roman"/>
          <w:i/>
          <w:sz w:val="20"/>
        </w:rPr>
        <w:t xml:space="preserve">1) Si es un estudio primario empírico: </w:t>
      </w:r>
      <w:r>
        <w:rPr>
          <w:rFonts w:ascii="Times New Roman" w:hAnsi="Times New Roman"/>
          <w:sz w:val="20"/>
        </w:rPr>
        <w:t>Se valida y cataloga como estudio primario nuclear (los 4 estudios nucleares identificados son estudios primarios empíricos que proponen arquitecturas y validaciones experimentales concretas).</w:t>
      </w:r>
    </w:p>
    <w:p>
      <w:pPr>
        <w:spacing w:line="240" w:lineRule="auto" w:before="40" w:after="0"/>
        <w:ind w:firstLine="200"/>
        <w:jc w:val="both"/>
      </w:pPr>
      <w:r>
        <w:rPr>
          <w:rFonts w:ascii="Times New Roman" w:hAnsi="Times New Roman"/>
          <w:i/>
          <w:sz w:val="20"/>
        </w:rPr>
        <w:t xml:space="preserve">2) Si es una revisión sistemática previa (RSL o Survey): </w:t>
      </w:r>
      <w:r>
        <w:rPr>
          <w:rFonts w:ascii="Times New Roman" w:hAnsi="Times New Roman"/>
          <w:sz w:val="20"/>
        </w:rPr>
        <w:t>Se activa la alerta de ineditud, analizando su ventana temporal y taxonomía para diferenciar explícitamente la presente RSL como una contribución original que aborda brechas no resueltas (ej. modelos multimodales recientes post-2023 y foco estricto en flujos ERP/CRM privados).</w:t>
      </w:r>
    </w:p>
    <w:p>
      <w:pPr>
        <w:keepNext/>
        <w:spacing w:before="200" w:after="80"/>
        <w:ind w:firstLine="0"/>
        <w:jc w:val="center"/>
      </w:pPr>
      <w:r>
        <w:rPr>
          <w:rFonts w:ascii="Times New Roman" w:hAnsi="Times New Roman"/>
          <w:b/>
          <w:sz w:val="20"/>
        </w:rPr>
        <w:t>XII. PASO 11: ENLACE DE PREGUNTAS CON LA SECCIÓN DE RESULTADOS</w:t>
      </w:r>
    </w:p>
    <w:p>
      <w:pPr>
        <w:spacing w:line="240" w:lineRule="auto" w:before="0" w:after="0"/>
        <w:ind w:firstLine="200"/>
        <w:jc w:val="both"/>
      </w:pPr>
      <w:r>
        <w:rPr>
          <w:rFonts w:ascii="Times New Roman" w:hAnsi="Times New Roman"/>
          <w:i w:val="0"/>
          <w:sz w:val="20"/>
        </w:rPr>
        <w:t>Para asegurar una rigurosa trazabilidad y coherencia interna, cada una de las siete preguntas formuladas (PD1–PD3 y PI1–PI4) se responde en la sección de Resultados mediante una tabla de evidencia empírica y un gráfico cuantitativo asignado (ver Tabla XIII):</w:t>
      </w:r>
    </w:p>
    <w:p>
      <w:pPr>
        <w:keepNext/>
        <w:spacing w:before="160" w:after="20"/>
        <w:ind w:firstLine="0"/>
        <w:jc w:val="center"/>
      </w:pPr>
      <w:r>
        <w:rPr>
          <w:rFonts w:ascii="Times New Roman" w:hAnsi="Times New Roman"/>
          <w:b/>
          <w:sz w:val="16"/>
        </w:rPr>
        <w:t>TABLA XIII</w:t>
      </w:r>
    </w:p>
    <w:p>
      <w:pPr>
        <w:keepNext/>
        <w:spacing w:before="0" w:after="80"/>
        <w:ind w:firstLine="0"/>
        <w:jc w:val="center"/>
      </w:pPr>
      <w:r>
        <w:rPr>
          <w:rFonts w:ascii="Times New Roman" w:hAnsi="Times New Roman"/>
          <w:b/>
          <w:sz w:val="16"/>
        </w:rPr>
        <w:t>MATRIZ DE ENLACE ENTRE PREGUNTAS, TABLAS Y GRÁFICOS DE RESULTADOS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Contenido Temático a Responder</w:t>
            </w:r>
          </w:p>
        </w:tc>
        <w:tc>
          <w:tcPr>
            <w:tcW w:type="dxa" w:w="144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Tabla de Evidencia Asignada</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Gráfico Asignado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PD1</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Evolución temporal de publicaciones sobre IA/IDP en documentos empresariales (2020–2025).</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de distribución de frecuencia de artículos por año.</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Gráfico de líneas/barras de tendencia temporal.</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PD2</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Productividad académica por autores líderes, revistas/conferencias indexadas y países de origen.</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Ranking de las 10 revistas/conferencias más frecuentes y países líderes.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Gráfico de barras horizontales de procedencia geográfica.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PD3</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Distribución de diseños metodológicos y tipologías de datasets empleados.</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cruzada: diseño del estudio × tipo de dataset (público vs. corporativo).</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Gráfico de barras apiladas por tipología de validación.</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PI1</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Taxonomía de enfoques algorítmicos (secuenciales, grafos, transformers multimodales, LLMs/KIE).</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Matriz de arquitecturas de IA identificadas × número de estudios primarios.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Gráfico de barras por familia algorítmica.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PI2</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Rendimiento cuantitativo reportado (F1-score, exactitud por campos, latencia de inferencia).</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comparativa de métricas estadísticas (mínimo, mediana, máximo de precisión).</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Diagrama de caja y bigotes (boxplot) de métricas.</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PI3</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Comparativa de eficiencia y costo operativo: IA/IDP frente a ingreso manual y reglas rígidas.</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Tabla de ganancia porcentual en velocidad y reducción de tasa de error operativo.</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Gráfico de barras comparativas (Método Tradicional vs. Enfoque IA).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PI4</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Tipologías documentales (facturas, recibos, órdenes) y plataformas empresariales (ERP/CRM).</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de frecuencia por tipo de documento visualmente rico × plataforma empresarial.</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Gráfico de barras agrupadas o matriz de calor (heatmap).</w:t>
            </w:r>
          </w:p>
        </w:tc>
      </w:tr>
    </w:tbl>
    <w:p>
      <w:pPr>
        <w:keepNext/>
        <w:spacing w:before="200" w:after="80"/>
        <w:ind w:firstLine="0"/>
        <w:jc w:val="center"/>
      </w:pPr>
      <w:r>
        <w:rPr>
          <w:rFonts w:ascii="Times New Roman" w:hAnsi="Times New Roman"/>
          <w:b/>
          <w:sz w:val="20"/>
        </w:rPr>
        <w:t>XIII. PASO 12: ESTRATEGIA DE SÍNTESIS DE LA INFORMACIÓN</w:t>
      </w:r>
    </w:p>
    <w:p>
      <w:pPr>
        <w:spacing w:line="240" w:lineRule="auto" w:before="0" w:after="0"/>
        <w:ind w:firstLine="200"/>
        <w:jc w:val="both"/>
      </w:pPr>
      <w:r>
        <w:rPr>
          <w:rFonts w:ascii="Times New Roman" w:hAnsi="Times New Roman"/>
          <w:i w:val="0"/>
          <w:sz w:val="20"/>
        </w:rPr>
        <w:t>Debido a la heterogeneidad metodológica y contextual de los estudios primarios recuperados (variedad de arquitecturas neuronales, métricas disímiles como F1-score por entidad, exactitud global, WER o tiempo de inferencia, y el uso combinado de datasets públicos de benchmark con datasets corporativos privados protegidos por acuerdos de confidencialidad), no resulta metodológicamente viable ni estadísticamente apropiado realizar un metaanálisis cuantitativo tradicional con estimación de tamaño de efecto combinado.</w:t>
      </w:r>
    </w:p>
    <w:p>
      <w:pPr>
        <w:spacing w:line="240" w:lineRule="auto" w:before="0" w:after="0"/>
        <w:ind w:firstLine="200"/>
        <w:jc w:val="both"/>
      </w:pPr>
      <w:r>
        <w:rPr>
          <w:rFonts w:ascii="Times New Roman" w:hAnsi="Times New Roman"/>
          <w:i w:val="0"/>
          <w:sz w:val="20"/>
        </w:rPr>
        <w:t>En su lugar, se adopta una estrategia de síntesis narrativa temática y cuantitativa descriptiva estructurada en tres fases:</w:t>
      </w:r>
    </w:p>
    <w:p>
      <w:pPr>
        <w:spacing w:line="240" w:lineRule="auto" w:before="40" w:after="0"/>
        <w:ind w:firstLine="200"/>
        <w:jc w:val="both"/>
      </w:pPr>
      <w:r>
        <w:rPr>
          <w:rFonts w:ascii="Times New Roman" w:hAnsi="Times New Roman"/>
          <w:i/>
          <w:sz w:val="20"/>
        </w:rPr>
        <w:t xml:space="preserve">1) Agrupación y Tabulación Descriptiva: </w:t>
      </w:r>
      <w:r>
        <w:rPr>
          <w:rFonts w:ascii="Times New Roman" w:hAnsi="Times New Roman"/>
          <w:sz w:val="20"/>
        </w:rPr>
        <w:t>Consolidación de frecuencias absolutas y relativas para responder las preguntas bibliométricas (PD1–PD3).</w:t>
      </w:r>
    </w:p>
    <w:p>
      <w:pPr>
        <w:spacing w:line="240" w:lineRule="auto" w:before="40" w:after="0"/>
        <w:ind w:firstLine="200"/>
        <w:jc w:val="both"/>
      </w:pPr>
      <w:r>
        <w:rPr>
          <w:rFonts w:ascii="Times New Roman" w:hAnsi="Times New Roman"/>
          <w:i/>
          <w:sz w:val="20"/>
        </w:rPr>
        <w:t xml:space="preserve">2) Síntesis Taxonómica por Ejes Técnicos: </w:t>
      </w:r>
      <w:r>
        <w:rPr>
          <w:rFonts w:ascii="Times New Roman" w:hAnsi="Times New Roman"/>
          <w:sz w:val="20"/>
        </w:rPr>
        <w:t>Categorización de enfoques algorítmicos, modalidades de entrada (visión, texto, diseño espacial) y tipologías documentales (PI1 y PI4).</w:t>
      </w:r>
    </w:p>
    <w:p>
      <w:pPr>
        <w:spacing w:line="240" w:lineRule="auto" w:before="40" w:after="0"/>
        <w:ind w:firstLine="200"/>
        <w:jc w:val="both"/>
      </w:pPr>
      <w:r>
        <w:rPr>
          <w:rFonts w:ascii="Times New Roman" w:hAnsi="Times New Roman"/>
          <w:i/>
          <w:sz w:val="20"/>
        </w:rPr>
        <w:t xml:space="preserve">3) Análisis Comparativo de Rendimiento Empírico: </w:t>
      </w:r>
      <w:r>
        <w:rPr>
          <w:rFonts w:ascii="Times New Roman" w:hAnsi="Times New Roman"/>
          <w:sz w:val="20"/>
        </w:rPr>
        <w:t>Cálculo de rangos, medianas y dispersión de métricas de precisión y eficiencia operativa (PI2 y PI3), profundizando en los hallazgos de los 4 estudios nucleares.</w:t>
      </w:r>
    </w:p>
    <w:p>
      <w:pPr>
        <w:keepNext/>
        <w:spacing w:before="200" w:after="80"/>
        <w:ind w:firstLine="0"/>
        <w:jc w:val="center"/>
      </w:pPr>
      <w:r>
        <w:rPr>
          <w:rFonts w:ascii="Times New Roman" w:hAnsi="Times New Roman"/>
          <w:b/>
          <w:sz w:val="20"/>
        </w:rPr>
        <w:t>XIV. PASO 13: AMENAZAS A LA VALIDEZ Y ESTRATEGIAS DE MITIGACIÓN</w:t>
      </w:r>
    </w:p>
    <w:p>
      <w:pPr>
        <w:spacing w:line="240" w:lineRule="auto" w:before="0" w:after="0"/>
        <w:ind w:firstLine="200"/>
        <w:jc w:val="both"/>
      </w:pPr>
      <w:r>
        <w:rPr>
          <w:rFonts w:ascii="Times New Roman" w:hAnsi="Times New Roman"/>
          <w:i w:val="0"/>
          <w:sz w:val="20"/>
        </w:rPr>
        <w:t>Siguiendo las recomendaciones de Kitchenham &amp; Charters (2007) y Wohlin et al. (2012), se identifican cuatro fuentes principales de sesgo y las acciones sistemáticas implementadas para su mitigación (ver Tabla XIV):</w:t>
      </w:r>
    </w:p>
    <w:p>
      <w:pPr>
        <w:keepNext/>
        <w:spacing w:before="160" w:after="20"/>
        <w:ind w:firstLine="0"/>
        <w:jc w:val="center"/>
      </w:pPr>
      <w:r>
        <w:rPr>
          <w:rFonts w:ascii="Times New Roman" w:hAnsi="Times New Roman"/>
          <w:b/>
          <w:sz w:val="16"/>
        </w:rPr>
        <w:t>TABLA XIV</w:t>
      </w:r>
    </w:p>
    <w:p>
      <w:pPr>
        <w:keepNext/>
        <w:spacing w:before="0" w:after="80"/>
        <w:ind w:firstLine="0"/>
        <w:jc w:val="center"/>
      </w:pPr>
      <w:r>
        <w:rPr>
          <w:rFonts w:ascii="Times New Roman" w:hAnsi="Times New Roman"/>
          <w:b/>
          <w:sz w:val="16"/>
        </w:rPr>
        <w:t>MATRIZ DE AMENAZAS A LA VALIDEZ Y ESTRATEGIAS DE MITIGACIÓN</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Dimensión de Amenaza</w:t>
            </w:r>
          </w:p>
        </w:tc>
        <w:tc>
          <w:tcPr>
            <w:tcW w:type="dxa" w:w="144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Riesgo Identificado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Estrategia de Mitigación Implementada</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Sesgo de Selección (Selection Bias)</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Posible omisión de literatura relevante o sobre-inclusión de estudios no pertinentes.</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 Consulta simultánea a dos bases de datos primarias de alto impacto (Scopus y Web of Science Core Collection).</w:t>
              <w:br/>
              <w:t>• Calibración booleana mediante dos iteraciones y validación morfológica con comodines (*).</w:t>
              <w:br/>
              <w:t>• Criterios de inclusión/exclusión codificados y operados de forma unívoca (IN1–IN4, EX1–EX4).</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Sesgo de Publicación (Publication Bias)</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Tendencia de la literatura a reportar únicamente resultados positivos o modelos con alto F1-score.</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 Inclusión de ponencias en congresos internacionales indexados además de artículos de revista (IN2).</w:t>
              <w:br/>
              <w:t>• Extracción sistemática no solo de valores pico, sino de limitaciones técnicas reportadas en layouts complejos o ruido de escaneo.</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Sesgo del Evaluador / Extracción (Reviewer Bias)</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Subjetividad individual durante el cribado de resúmenes o la asignación de puntajes de calidad QA.</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 Proceso de cribado en doble ciego con dos revisores independientes.</w:t>
              <w:br/>
              <w:t>• Medición cuantitativa de concordancia mediante el coeficiente Kappa de Cohen (κ = 0.86 en cribado, κ = 0.91 en texto completo).</w:t>
              <w:br/>
              <w:t>• Resolución de discrepancias mediante consenso estructurado sobre el texto original.</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Validez de Constructo (Construct Validity)</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Desalineación entre los términos de búsqueda empleados y los conceptos reales de la investigación.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 Derivación formal de palabras clave a partir de la matriz de descomposición PICOC.</w:t>
              <w:br/>
              <w:t>• Incorporación exhaustiva de sinónimos técnicos en inglés (IDP, Document AI, KIE, LayoutLM, OCR).</w:t>
              <w:br/>
              <w:t>• Validación previa con búsqueda exploratoria de calibración.</w:t>
            </w:r>
          </w:p>
        </w:tc>
      </w:tr>
    </w:tbl>
    <w:p>
      <w:pPr>
        <w:keepNext/>
        <w:spacing w:before="200" w:after="80"/>
        <w:ind w:firstLine="0"/>
        <w:jc w:val="center"/>
      </w:pPr>
      <w:r>
        <w:rPr>
          <w:rFonts w:ascii="Times New Roman" w:hAnsi="Times New Roman"/>
          <w:b/>
          <w:sz w:val="20"/>
        </w:rPr>
        <w:t>XV. PASO 14: CONCLUSIONES Y CADENA DE TRAZABILIDAD METODOLÓGICA</w:t>
      </w:r>
    </w:p>
    <w:p>
      <w:pPr>
        <w:keepNext/>
        <w:spacing w:before="160" w:after="40"/>
        <w:ind w:firstLine="0"/>
        <w:jc w:val="left"/>
      </w:pPr>
      <w:r>
        <w:rPr>
          <w:rFonts w:ascii="Times New Roman" w:hAnsi="Times New Roman"/>
          <w:i/>
          <w:sz w:val="20"/>
        </w:rPr>
        <w:t>A. Análisis Conclusivo de los Estudios Nucleares</w:t>
      </w:r>
    </w:p>
    <w:p>
      <w:pPr>
        <w:spacing w:line="240" w:lineRule="auto" w:before="0" w:after="0"/>
        <w:ind w:firstLine="200"/>
        <w:jc w:val="both"/>
      </w:pPr>
      <w:r>
        <w:rPr>
          <w:rFonts w:ascii="Times New Roman" w:hAnsi="Times New Roman"/>
          <w:i w:val="0"/>
          <w:sz w:val="20"/>
        </w:rPr>
        <w:t>Tras haber analizado detalladamente los 4 estudios nucleares identificados ([S001] Wei et al., 2020; [S002] Hwang et al., 2021; [S003] Devadarshini &amp; Karthikeyan, 2025; [S004] Kirsch et al., 2025), se ha identificado que ninguno de ellos por sí solo responde de forma integral a nuestra pregunta maestra de investigación. Cada uno de estos trabajos aborda aspectos específicos y altamente valiosos (por ejemplo, arquitecturas basadas en grafos, modelos de dependencia espacial o pipelines híbridos OCR-deep learning), pero presentan delimitaciones respecto al rango temporal completo, la cobertura multimodelo comparativa o la integración específica en flujos ERP corporativos privados bajo el enfoque global planteado. Por consiguiente, estos 4 estudios primarios serán tomados como núcleo de referencia fundamental y base empírica de contrastación técnica para el desarrollo de la presente RSL.</w:t>
      </w:r>
    </w:p>
    <w:p>
      <w:pPr>
        <w:keepNext/>
        <w:spacing w:before="160" w:after="40"/>
        <w:ind w:firstLine="0"/>
        <w:jc w:val="left"/>
      </w:pPr>
      <w:r>
        <w:rPr>
          <w:rFonts w:ascii="Times New Roman" w:hAnsi="Times New Roman"/>
          <w:i/>
          <w:sz w:val="20"/>
        </w:rPr>
        <w:t>B. Cadena de Trazabilidad Metodológica Completa</w:t>
      </w:r>
    </w:p>
    <w:p>
      <w:pPr>
        <w:spacing w:line="240" w:lineRule="auto" w:before="0" w:after="0"/>
        <w:ind w:firstLine="200"/>
        <w:jc w:val="both"/>
      </w:pPr>
      <w:r>
        <w:rPr>
          <w:rFonts w:ascii="Times New Roman" w:hAnsi="Times New Roman"/>
          <w:i w:val="0"/>
          <w:sz w:val="20"/>
        </w:rPr>
        <w:t>El andamiaje metodológico desarrollado garantiza que cada decisión, cifra y resultado sea completamente auditable bajo una secuencia lógica continua y sin rupturas:</w:t>
      </w:r>
    </w:p>
    <w:p>
      <w:pPr>
        <w:spacing w:line="240" w:lineRule="auto" w:before="0" w:after="0"/>
        <w:ind w:firstLine="200"/>
        <w:jc w:val="both"/>
      </w:pPr>
      <w:r>
        <w:rPr>
          <w:rFonts w:ascii="Times New Roman" w:hAnsi="Times New Roman"/>
          <w:i/>
          <w:sz w:val="20"/>
        </w:rPr>
        <w:t>Tema Delimitado → Marco PICOC → Pregunta Maestra (FINER) → Preguntas (PI + PD) → Ecuación Booleana Calibrada → Criterios IN/EX Codificados → Bitácora de Búsqueda (21/09/2026) → Flujo PRISMA 2020 (4 Fases) → Control de Calidad QA + Doble Ciego (Kappa) → Matriz de Mapeo (N = 110) → Estrategia de Síntesis y Resultados Vinculados</w:t>
      </w:r>
    </w:p>
    <w:p>
      <w:pPr>
        <w:keepNext/>
        <w:spacing w:before="160" w:after="40"/>
        <w:ind w:firstLine="0"/>
        <w:jc w:val="left"/>
      </w:pPr>
      <w:r>
        <w:rPr>
          <w:rFonts w:ascii="Times New Roman" w:hAnsi="Times New Roman"/>
          <w:i/>
          <w:sz w:val="20"/>
        </w:rPr>
        <w:t>C. Conformidad y Robustez Metodológica</w:t>
      </w:r>
    </w:p>
    <w:p>
      <w:pPr>
        <w:spacing w:line="240" w:lineRule="auto" w:before="0" w:after="0"/>
        <w:ind w:firstLine="200"/>
        <w:jc w:val="both"/>
      </w:pPr>
      <w:r>
        <w:rPr>
          <w:rFonts w:ascii="Times New Roman" w:hAnsi="Times New Roman"/>
          <w:i w:val="0"/>
          <w:sz w:val="20"/>
        </w:rPr>
        <w:t>Este diseño metodológico asegura la total solidez científica y la plena conformidad con los estándares de investigación y reporte vigentes para revisiones sistemáticas de literatura en ingeniería de software y sistemas de información.</w:t>
      </w:r>
    </w:p>
    <w:sectPr w:rsidR="00FC693F" w:rsidRPr="0006063C" w:rsidSect="00034616">
      <w:headerReference w:type="default" r:id="rId11"/>
      <w:footerReference w:type="default" r:id="rId12"/>
      <w:type w:val="continuous"/>
      <w:pgSz w:w="12240" w:h="15840"/>
      <w:pgMar w:top="1077" w:right="981" w:bottom="1440" w:left="981"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