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Rodrigo Eduardo Gallegos Cartagena, 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Entregable Oficial: Introducción y Metodología | Corpus Primario Final: N = 131 artículos de revista científica (4 nucleares)</w:t>
      </w:r>
    </w:p>
    <w:p>
      <w:pPr>
        <w:spacing w:before="80" w:after="40"/>
        <w:ind w:left="432" w:right="432"/>
      </w:pPr>
      <w:r>
        <w:rPr>
          <w:b/>
          <w:i/>
          <w:sz w:val="18"/>
        </w:rPr>
        <w:t xml:space="preserve">Resumen— </w:t>
      </w:r>
      <w:r>
        <w:rPr>
          <w:sz w:val="18"/>
        </w:rPr>
        <w:t>El procesamiento y validación de datos no estructurados y semiestructurados en documentos empresariales (facturas, recibos, órdenes de compra y tablas financieras) representa uno de los mayores desafíos para la productividad organizacional y la integración transaccional en sistemas corporativos (ERP, CRM, DMS). Esta Revisión Sistemática de la Literatura (RSL) analiza el estado del arte y la evidencia empírica acumulada entre 2020 y 2025 sobre el impacto de las arquitecturas de Inteligencia Artificial (IA) y Procesamiento Inteligente de Documentos (IDP). Siguiendo las directrices metodológicas de Kitchenham &amp; Charters (2007) y el protocolo PRISMA 2020, se ejecutó una búsqueda exhaustiva calibrada en Scopus (n = 311) y Web of Science Core Collection (n = 266), recuperando 577 registros brutos 100% de revista científica. Tras un proceso de deduplicación computacional rigurosa (239 duplicados eliminados), cribado temático en doble ciego (κ = 0.88, 41 excluidos con 0% de ruido médico) y evaluación crítica a texto completo bajo control de calidad QA (κ = 0.92, 166 excluidos, incluyendo 20 justificados individualmente bajo el ítem 7 de AMSTAR 2 y 146 de OCR genérico no empresarial), se consolidó un corpus final primario de N = 131 estudios de revista científica (100% Journal Articles revisados por pares). A partir de este corpus, se identificaron cuatro estudios nucleares paradigmáticos de alto impacto (Elsevier Q1, IEEE Q1, MDPI Q2) y se sintetizó la evidencia en torno a cuatro preguntas de investigación temáticas y tres descriptivas. Los resultados demuestran que las arquitecturas neuronales multimodales (LayoutLM, transformers visual-lingüísticos y VLMs) superan consistentemente a los enfoques tradicionales basados en reglas y OCR clásico, alcanzando puntajes F1 superiores al 92% en extracción de información clave (KIE) y reducciones de latencia operativa de hasta un 70%, transformando la eficiencia de los flujos transaccionales corporativos.</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w:t>
      </w:r>
    </w:p>
    <w:p>
      <w:pPr>
        <w:spacing w:line="240" w:lineRule="auto" w:before="0" w:after="80"/>
        <w:jc w:val="both"/>
      </w:pPr>
      <w:r>
        <w:rPr>
          <w:rFonts w:ascii="Times New Roman" w:hAnsi="Times New Roman"/>
          <w:i w:val="0"/>
          <w:sz w:val="19"/>
        </w:rPr>
        <w:t>Este esquema tradicional presenta severas limitaciones de escalabilidad operativa: una alta tasa de error por fatiga humana, costos laborales recurrentes, lentitud en los ciclos de conciliación contable y una extrema fragilidad ante cualquier variación mínima en el diseño o formato de los documentos.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LayoutLM, DocFormer y Vision-Language Models) permiten interpretar simultáneamente la información textual, la disposición espacial (layout) y los atributos visuales de los documentos visualmente ricos (Visually Rich Documents - VRD), habilitando una automatización de extremo a extremo de alta exactitud.</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con tiempos de respuesta que oscilan entre 24 y 72 horas por lote y tasas de error de digitación que oscilan entre el 2% y el 8%, repercutiendo en multas tributarias y demoras en pagos a proveedores.</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algoritmos sobre conjuntos de datos públicos controlados, sintéticos o exclusivamente en inglés (como SROIE, FUNSD y CORD), los cuales no reflejan las complejidades del mundo real: documentos con baja resolución de escaneo, sellos y firmas superpuestas, tablas contables anidadas sin bordes y normativas fiscales locales.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Existe una marcada escasez de investigaciones que aborden la integración transaccional directa de extremo a extremo entre los pipelines de IDP y los sistemas empresariales corporativos (ERP, CRM y DMS), evaluando de forma simultánea la latencia de inferencia en tiempo real, el consumo de recursos computacionales (GPU vs. CPU) y los protocolos de dirimencia humano-en-el-bucle (Human-in-the-Loop).</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y los criterios FINER de viabilidad e interés científico,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AMSTAR 2 y mapeo); y la Sección III lista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se definió a priori para garantizar la objetividad, trazabilidad y reproducibilidad del estudio.</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Componente</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Definición para este Estudio</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 — Población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 — Intervención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Comparación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 — Resultado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Contexto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Código</w:t>
            </w:r>
          </w:p>
        </w:tc>
        <w:tc>
          <w:tcPr>
            <w:tcW w:type="dxa" w:w="288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Investigación Formulada</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Eje de Evidencia / PICOC</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medida el procesamiento con IA/IDP reduce tiempos de respuesta y costos operativos frente al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PI4</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Evolución temporal (Contexto)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neutralizar por completo el riesgo de polisemia del acrónimo aislado 'ERP' (el cual en las pruebas preliminares colisionaba severamente con la literatura neurofisiológica y clínica sobre Event-Related Potentials en electroencefalogramas), se reemplazó formalmente dicha sigla por las frases compuestas 'enterprise resource planning' OR 'ERP system*', erradicando al 100% el ruido biomédico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Bloque</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Concepto Base</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Población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empresariales y documentos</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Intervención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IA y procesamiento documental</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Resultado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Automatización, exactitud y eficiencia</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scopus_export_it2.csv y wos_export_it2.xls),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se redujeron a 311 y 266 registros respectivamente (total n = 577), garantizando 0% de ruido médico y máxima exhaustividad temática.</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i w:val="0"/>
          <w:sz w:val="19"/>
        </w:rPr>
        <w:t>Las ecuaciones calibradas se ejecutaron en Scopus y Web of Science Core Collection bajo fecha calendario auditable. Los filtros de plataforma restringieron los resultados al tipo de documento Article (100% artículos de revista científica revisados por pares), período 2020–2025 e idiomas inglés y español (ver Tabla IV):</w:t>
      </w:r>
    </w:p>
    <w:p>
      <w:pPr>
        <w:keepNext/>
        <w:spacing w:before="140" w:after="20"/>
        <w:jc w:val="center"/>
      </w:pPr>
      <w:r>
        <w:rPr>
          <w:rFonts w:ascii="Times New Roman" w:hAnsi="Times New Roman"/>
          <w:b/>
          <w:sz w:val="16"/>
        </w:rPr>
        <w:t>TABLA IV</w:t>
        <w:br/>
      </w:r>
      <w:r>
        <w:rPr>
          <w:rFonts w:ascii="Times New Roman" w:hAnsi="Times New Roman"/>
          <w:sz w:val="16"/>
        </w:rPr>
        <w:t>REGISTRO MAESTRO DE BÚSQUEDA Y EXPORTACIÓN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Base de Datos</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Campo</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Sin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 Doc.</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Archivo Exportado</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 (Elsevier)</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TITLE-ABS-KEY</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3,270</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311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scopus_export_it2.csv</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Web of Science Core Collection</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TS (Topic)</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431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266</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wos_export_it2.xls</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Total Consolidado</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Simétrico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3,701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Archivos maestros en inputs/</w:t>
            </w:r>
          </w:p>
        </w:tc>
      </w:tr>
    </w:tbl>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Metodológico de Elegibilidad</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Mecanismo de Verificación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Ventana temporal de publicación comprendida entre 2020 y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 Document Type = Article (0% congresos).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de título/resumen (n = 35).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EX-n</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en Doble Ciego y Resolución de Discrepancias: </w:t>
      </w:r>
      <w:r>
        <w:rPr>
          <w:rFonts w:ascii="Times New Roman" w:hAnsi="Times New Roman"/>
          <w:i w:val="0"/>
          <w:sz w:val="19"/>
        </w:rPr>
        <w:t>La evaluación de registros se ejecutó mediante un protocolo independiente en doble ciego entre los dos investigadores principales (R1 y R2). En la fase de cribado por título y resumen se obtuvo un coeficiente de concordancia sustancial casi perfecto (κ = 0.88). En la fase de elegibilidad a texto completo se alcanzó una concordancia de κ = 0.92. Las discrepancias iniciales entre revisores (registradas en menos del 6% de los estudios evaluados) se resolvieron mediante sesiones estructuradas de consenso razonado basadas en la verificación directa de los criterios de inclusión/exclusión; en los casos que suscitaron duda metodológica residual, se aplicó la dirimencia vinculante del docente asesor experto (Mg. Jimmy Sánchez Portugal), garantizando total objetividad y reproducibilidad.</w:t>
      </w:r>
    </w:p>
    <w:p>
      <w:pPr>
        <w:spacing w:line="240" w:lineRule="auto" w:before="0" w:after="80"/>
        <w:jc w:val="both"/>
      </w:pPr>
      <w:r>
        <w:rPr>
          <w:rFonts w:ascii="Times New Roman" w:hAnsi="Times New Roman"/>
          <w:i w:val="0"/>
          <w:sz w:val="19"/>
        </w:rPr>
        <w:t>1) Fase 1 (Identificación): Se recuperaron 577 artículos de revista (311 en Scopus y 266 en WoS).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En doble ciego independiente (κ = 0.88),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acuerdo inter-evaluador κ = 0.92. Se excluyeron 166 registros: 20 documentados individualmente bajo el ítem 7 de AMSTAR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Fase PRISMA</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Entrada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Operación Metodológica</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Excluidos</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Salida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 Identificación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Cruce determinista por DOI y título normalizado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-239 dupl.</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2. Cribado</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de título/resumen en doble ciego (κ = 0.88)</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-41 temáticos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elegibles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3. Elegibilidad</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texto compl.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Lectura de texto completo y control QA (κ = 0.92)</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-166 estudios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incluidos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4. Inclusión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primarios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Mapeo semántico frente a PI1–PI4 y extracción</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0</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Corpus Total</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Embudo metodológico auditable y reproducible</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-446 excluidos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evaluación en doble ciego, concordancia inter-evaluador κ = 0.92)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4.60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259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Control de Calidad Metodológica</w:t>
            </w:r>
          </w:p>
        </w:tc>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QA1</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QA2</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QA3</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QA4</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QA5</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AMSTAR 2 de Estudios Excluidos a Texto Completo</w:t>
      </w:r>
    </w:p>
    <w:p>
      <w:pPr>
        <w:spacing w:line="240" w:lineRule="auto" w:before="0" w:after="80"/>
        <w:jc w:val="both"/>
      </w:pPr>
      <w:r>
        <w:rPr>
          <w:rFonts w:ascii="Times New Roman" w:hAnsi="Times New Roman"/>
          <w:i w:val="0"/>
          <w:sz w:val="19"/>
        </w:rPr>
        <w:t>En estricto cumplimiento del ítem 7 de AMSTAR 2 y del ítem 16b de PRISMA 2020,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(AMSTAR 2 ÍTEM 7)</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Referencia Bibliográfica Completa</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Base</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Cód.</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Villa-García P.A.; Alonso-Calvo R.; García-Díaz 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Nguyen T.T.; Le H.; Nguyen T.; Vo N.D.; Nguyen V.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Saout T.; Lardeux F.; Saubion F.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Michalak H.; Okarma K.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Zucker A.; Belkada Y.; Vu H.; Nguyen V.N.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Rewoo P.; Jaiswal A.K.; Mahajan D.; Naidu K.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Holeček M.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Vykhodtseva V.A.; Popova G.V.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Varthis E.; Poulos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Francis S.A.; Sangeetha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X.-H.; Yin F.; Dai H.-S.; Liu C.-L. (2022)</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Yang F.; Hu L.; Liu X.; Huang S.; Gu Z.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Di Marzo Serugendo G.; Cappelli M.A.; Fabre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Srivastava D.; Harit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Han S.; Ji S.; Rhee J.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Satirapiwong K.; Siriborvornratanakul T.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Anbukkarasi S.; Varadhaganapathy S.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Shin Y.; Cho Y.; Kang H.W.; Kang J.-G.; Lee C.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Z.; Tian W.; Li C.; Li Y.; Shi H.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Courtney J.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Insignia (100% Revista)</w:t>
      </w:r>
    </w:p>
    <w:p>
      <w:pPr>
        <w:spacing w:line="240" w:lineRule="auto" w:before="0" w:after="80"/>
        <w:jc w:val="both"/>
      </w:pPr>
      <w:r>
        <w:rPr>
          <w:rFonts w:ascii="Times New Roman" w:hAnsi="Times New Roman"/>
          <w:i w:val="0"/>
          <w:sz w:val="19"/>
        </w:rPr>
        <w:t>A partir de la evaluación de calidad metodológica (QA = 5.0 / 5.0) y la cobertura integral de las cuatro preguntas temáticas (PI1 a PI4), se seleccionaron cuatro estudios nucleares paradigmáticos de alto impacto (Q1/Q2), todos artículos de revista científica con DOI verificable, que constituyen el ancla empírica de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INSIGNIA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ID</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Ref.</w:t>
            </w:r>
          </w:p>
        </w:tc>
        <w:tc>
          <w:tcPr>
            <w:tcW w:type="dxa" w:w="93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Autores y Año</w:t>
            </w:r>
          </w:p>
        </w:tc>
        <w:tc>
          <w:tcPr>
            <w:tcW w:type="dxa" w:w="122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Revista Indexada y Cuartil</w:t>
            </w:r>
          </w:p>
        </w:tc>
        <w:tc>
          <w:tcPr>
            <w:tcW w:type="dxa" w:w="79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DOI</w:t>
            </w:r>
          </w:p>
        </w:tc>
        <w:tc>
          <w:tcPr>
            <w:tcW w:type="dxa" w:w="108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[S001]</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[3]</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Wei et al. (2026/2025)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Pattern Recognition (Elsevier, Q1)</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10.1016/j.patcog.2025.112348</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VLM multimodal para QA visual sobre gráficos y tablas complejas, superando baselines de OCR tradicional.</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[S002]</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[4]</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Chen et al.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Electronics (MDPI, Q2)</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10.3390/electronics14112145</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[S003]</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[5]</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Ali Khandokar &amp; Deshpande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IEEE Access (IEEE, Q1)</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10.1109/access.2024.3522141</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[S004]</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[6]</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Mifsud et al.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Mach. Learn. Knowl. Extr. (MDPI, Q2)</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10.3390/make7040167</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ID</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Ref.</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Autores (Año)</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PI1</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PI2</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PI3</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PI4</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Total</w:t>
            </w:r>
          </w:p>
        </w:tc>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Estrato de Evidencia</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[S001]</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Wei, JX et al. (2026)</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[S002]</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Chen L.-C.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[S003]</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[5]</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Ali Khandokar I.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[S004]</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[6]</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Mifsud X.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Yu J.-M.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[S015]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Abdalla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[S030]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Jia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[S050]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[52]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Lee E. et al. (2022)</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[S075]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[77]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Arshad A.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(3/4)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[S100]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[102]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Yeung O.M. et al. (2023)</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(3/4)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[S125]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[127]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Azman N.A. et al. (2021)</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2/4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Pregunta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Contenido Temático a Responder</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Tabla de Evidencia Asignada</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Gráfico Asignado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Distribución anual de artículos (2020–2025).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Tabla cruzada: diseño metodológico × tipo de dataset.</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Matriz de arquitecturas de IA identificadas.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Tabla comparativa de métricas por benchmark (SROIE, FUNSD, CORD).</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PI4</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Frecuencia por tipo de documento × plataforma.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Dimensión</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Riesgo de Sesgo Identificado</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Selección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Omisión de literatura relevante o inclusión de ruido ajeno.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Búsqueda simétrica en Scopus y WoS Core Collection con ecuación calibrada libre de polisemia.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Publicación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 de artículos con reportes de limitaciones en escaneos con ruido y layouts complejos.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del Evaluador</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Subjetividad individual durante el cribado y control QA.</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en doble ciego independiente con medición Kappa (κ = 0.88 en cribado, κ = 0.92 en texto completo).</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Validez de Constructo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Derivación rigurosa desde la matriz PICOC e incorporación de sinónimos técnicos (KIE, VRD, LayoutLM).</w:t>
            </w:r>
          </w:p>
        </w:tc>
      </w:tr>
    </w:tbl>
    <w:p>
      <w:pPr>
        <w:keepNext/>
        <w:spacing w:before="220" w:after="80"/>
        <w:jc w:val="center"/>
      </w:pPr>
      <w:r>
        <w:rPr>
          <w:rFonts w:ascii="Times New Roman" w:hAnsi="Times New Roman"/>
          <w:b/>
          <w:sz w:val="20"/>
        </w:rPr>
        <w:t>III.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https://jmlr.org/tmlr/papers/.</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Deformation Field Estimation," International Journal on Document Analysis and Recognition, 2025, doi: 10.1007/s10032-024-00488-1.</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10.1109/tim.2025.3526189.</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10.1007/s41870-024-02381-8.</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https://jmlr.org/tmlr/papers/.</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10.1108/jerer-06-2024-0038.</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10.1038/s41598-025-86711-2.</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10.1109/tbdata.2025.3529811.</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