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una clase dentro del paquete raíz.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Abrir la carpeta source packages y ahi la carpeta del paquete raíz, click derecho en new y java class, le ponemos el nombre y finalizar.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4330301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330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Veremos cómo se crea el public class con el nombre que le dimos a la clase.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importamos la librería y agregamos las notacion del RestController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hacemos lo mismo con el GetMapping agregando el  indicativo (“/”).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2858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todo sale bien al iniciar el localhost:8080 nos debe mostrar el  mensaje que establecimos.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Hacemos lo mismo con la notación del Slf7j, nos marcará con el foquito en rojo debemos agregar la dependencia.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Seleccionaremos la que nos aparece como lombok.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luego importamos el código para poder usarla como con las anteriores.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Vemos que ya no nos aparece el foco en rojo.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agregamos un log para saber por consola que se está ejecutando este controlador.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ejecutamos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actualizamos el navegador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36207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 revisamos la consola para observar el log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CAMBIAR AL PUERTO DEL SERVIDOR DE APLICACIONES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VOLVEMOS A EJECUTAR EL PROYECTO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ACTUALIZAMOS EL NAVEGADOR EN LA URL CON EL PUERTO POR DEFECTO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VEMOS QUE YA NO ESTÁ DISPONIBLE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CAMBIAMOS EL PUERTO DE LA URL AL NUEVO PUERTO CONFIGURADO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VEMOS QUE YA ESTÁ DISPONIBLE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92392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comprobamos que sirva con el nuevo puerto.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7wT61SspWMDondhKtxoHOZfC+w==">CgMxLjA4AHIhMUc5OFF3RTNZRkhUa283c0NVRjdnZWN4dzh3MXZnQTlt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