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240"/>
              <w:left w:type="dxa" w:w="360"/>
              <w:bottom w:type="dxa" w:w="240"/>
              <w:right w:type="dxa" w:w="360"/>
            </w:tcMar>
          </w:tcPr>
          <w:p>
            <w:pPr>
              <w:jc w:val="center"/>
            </w:pPr>
            <w:r>
              <w:rPr>
                <w:rFonts w:ascii="Arial" w:cs="Arial" w:eastAsia="Arial" w:hAnsi="Arial"/>
                <w:b/>
                <w:bCs/>
                <w:color w:val="FFFFFF"/>
                <w:sz w:val="52"/>
                <w:szCs w:val="52"/>
              </w:rPr>
              <w:t xml:space="preserve">Healthcare Claims Fraud Detection</w:t>
            </w:r>
          </w:p>
          <w:p>
            <w:pPr>
              <w:spacing w:before="80"/>
              <w:jc w:val="center"/>
            </w:pPr>
            <w:r>
              <w:rPr>
                <w:rFonts w:ascii="Arial" w:cs="Arial" w:eastAsia="Arial" w:hAnsi="Arial"/>
                <w:color w:val="9DC3E6"/>
                <w:sz w:val="28"/>
                <w:szCs w:val="28"/>
              </w:rPr>
              <w:t xml:space="preserve">Problem Statement &amp; Solution Overview</w:t>
            </w:r>
          </w:p>
          <w:p>
            <w:pPr>
              <w:spacing w:before="60"/>
              <w:jc w:val="center"/>
            </w:pPr>
            <w:r>
              <w:rPr>
                <w:rFonts w:ascii="Arial" w:cs="Arial" w:eastAsia="Arial" w:hAnsi="Arial"/>
                <w:color w:val="BDD7EE"/>
                <w:sz w:val="20"/>
                <w:szCs w:val="20"/>
              </w:rPr>
              <w:t xml:space="preserve">CMS Medicare Part B &amp; Part D | 2023 Data | United States</w:t>
            </w:r>
          </w:p>
        </w:tc>
      </w:tr>
    </w:tbl>
    <w:p>
      <w:pPr>
        <w:spacing w:before="24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120"/>
        <w:gridCol w:w="2280"/>
        <w:gridCol w:w="120"/>
        <w:gridCol w:w="2280"/>
        <w:gridCol w:w="120"/>
        <w:gridCol w:w="2280"/>
      </w:tblGrid>
      <w:tr>
        <w:tc>
          <w:tcPr>
            <w:tcW w:type="dxa" w:w="2280"/>
            <w:tcBorders>
              <w:top w:val="single" w:color="1F4E79" w:sz="1"/>
              <w:left w:val="single" w:color="1F4E79" w:sz="1"/>
              <w:bottom w:val="single" w:color="1F4E79" w:sz="1"/>
              <w:right w:val="single" w:color="1F4E79" w:sz="1"/>
            </w:tcBorders>
            <w:shd w:fill="1F4E79" w:val="clear"/>
            <w:tcMar>
              <w:top w:type="dxa" w:w="120"/>
              <w:left w:type="dxa" w:w="120"/>
              <w:bottom w:type="dxa" w:w="120"/>
              <w:right w:type="dxa" w:w="120"/>
            </w:tcMar>
          </w:tcPr>
          <w:p>
            <w:pPr>
              <w:jc w:val="center"/>
            </w:pPr>
            <w:r>
              <w:rPr>
                <w:rFonts w:ascii="Arial" w:cs="Arial" w:eastAsia="Arial" w:hAnsi="Arial"/>
                <w:b/>
                <w:bCs/>
                <w:color w:val="FFFFFF"/>
                <w:sz w:val="48"/>
                <w:szCs w:val="48"/>
              </w:rPr>
              <w:t xml:space="preserve">$36B+</w:t>
            </w:r>
          </w:p>
          <w:p>
            <w:pPr>
              <w:jc w:val="center"/>
            </w:pPr>
            <w:r>
              <w:rPr>
                <w:rFonts w:ascii="Arial" w:cs="Arial" w:eastAsia="Arial" w:hAnsi="Arial"/>
                <w:color w:val="FFFFFF"/>
                <w:sz w:val="18"/>
                <w:szCs w:val="18"/>
              </w:rPr>
              <w:t xml:space="preserve">Medicare Payments Analyzed</w:t>
            </w:r>
          </w:p>
        </w:tc>
        <w:tc>
          <w:tcPr>
            <w:tcW w:type="dxa" w:w="120"/>
            <w:tcBorders>
              <w:top w:val="none"/>
              <w:left w:val="none"/>
              <w:bottom w:val="none"/>
              <w:right w:val="none"/>
            </w:tcBorders>
          </w:tcPr>
          <w:p>
            <w:r>
              <w:t xml:space="preserve"/>
            </w:r>
          </w:p>
        </w:tc>
        <w:tc>
          <w:tcPr>
            <w:tcW w:type="dxa" w:w="2280"/>
            <w:tcBorders>
              <w:top w:val="single" w:color="1F4E79" w:sz="1"/>
              <w:left w:val="single" w:color="1F4E79" w:sz="1"/>
              <w:bottom w:val="single" w:color="1F4E79" w:sz="1"/>
              <w:right w:val="single" w:color="1F4E79" w:sz="1"/>
            </w:tcBorders>
            <w:shd w:fill="2E75B6" w:val="clear"/>
            <w:tcMar>
              <w:top w:type="dxa" w:w="120"/>
              <w:left w:type="dxa" w:w="120"/>
              <w:bottom w:type="dxa" w:w="120"/>
              <w:right w:type="dxa" w:w="120"/>
            </w:tcMar>
          </w:tcPr>
          <w:p>
            <w:pPr>
              <w:jc w:val="center"/>
            </w:pPr>
            <w:r>
              <w:rPr>
                <w:rFonts w:ascii="Arial" w:cs="Arial" w:eastAsia="Arial" w:hAnsi="Arial"/>
                <w:b/>
                <w:bCs/>
                <w:color w:val="FFFFFF"/>
                <w:sz w:val="48"/>
                <w:szCs w:val="48"/>
              </w:rPr>
              <w:t xml:space="preserve">691K+</w:t>
            </w:r>
          </w:p>
          <w:p>
            <w:pPr>
              <w:jc w:val="center"/>
            </w:pPr>
            <w:r>
              <w:rPr>
                <w:rFonts w:ascii="Arial" w:cs="Arial" w:eastAsia="Arial" w:hAnsi="Arial"/>
                <w:color w:val="FFFFFF"/>
                <w:sz w:val="18"/>
                <w:szCs w:val="18"/>
              </w:rPr>
              <w:t xml:space="preserve">Providers Analyzed</w:t>
            </w:r>
          </w:p>
        </w:tc>
        <w:tc>
          <w:tcPr>
            <w:tcW w:type="dxa" w:w="120"/>
            <w:tcBorders>
              <w:top w:val="none"/>
              <w:left w:val="none"/>
              <w:bottom w:val="none"/>
              <w:right w:val="none"/>
            </w:tcBorders>
          </w:tcPr>
          <w:p>
            <w:r>
              <w:t xml:space="preserve"/>
            </w:r>
          </w:p>
        </w:tc>
        <w:tc>
          <w:tcPr>
            <w:tcW w:type="dxa" w:w="2280"/>
            <w:tcBorders>
              <w:top w:val="single" w:color="1F4E79" w:sz="1"/>
              <w:left w:val="single" w:color="1F4E79" w:sz="1"/>
              <w:bottom w:val="single" w:color="1F4E79" w:sz="1"/>
              <w:right w:val="single" w:color="1F4E79" w:sz="1"/>
            </w:tcBorders>
            <w:shd w:fill="C00000" w:val="clear"/>
            <w:tcMar>
              <w:top w:type="dxa" w:w="120"/>
              <w:left w:type="dxa" w:w="120"/>
              <w:bottom w:type="dxa" w:w="120"/>
              <w:right w:type="dxa" w:w="120"/>
            </w:tcMar>
          </w:tcPr>
          <w:p>
            <w:pPr>
              <w:jc w:val="center"/>
            </w:pPr>
            <w:r>
              <w:rPr>
                <w:rFonts w:ascii="Arial" w:cs="Arial" w:eastAsia="Arial" w:hAnsi="Arial"/>
                <w:b/>
                <w:bCs/>
                <w:color w:val="FFFFFF"/>
                <w:sz w:val="48"/>
                <w:szCs w:val="48"/>
              </w:rPr>
              <w:t xml:space="preserve">130</w:t>
            </w:r>
          </w:p>
          <w:p>
            <w:pPr>
              <w:jc w:val="center"/>
            </w:pPr>
            <w:r>
              <w:rPr>
                <w:rFonts w:ascii="Arial" w:cs="Arial" w:eastAsia="Arial" w:hAnsi="Arial"/>
                <w:color w:val="FFFFFF"/>
                <w:sz w:val="18"/>
                <w:szCs w:val="18"/>
              </w:rPr>
              <w:t xml:space="preserve">High Risk Providers Flagged</w:t>
            </w:r>
          </w:p>
        </w:tc>
        <w:tc>
          <w:tcPr>
            <w:tcW w:type="dxa" w:w="120"/>
            <w:tcBorders>
              <w:top w:val="none"/>
              <w:left w:val="none"/>
              <w:bottom w:val="none"/>
              <w:right w:val="none"/>
            </w:tcBorders>
          </w:tcPr>
          <w:p>
            <w:r>
              <w:t xml:space="preserve"/>
            </w:r>
          </w:p>
        </w:tc>
        <w:tc>
          <w:tcPr>
            <w:tcW w:type="dxa" w:w="2280"/>
            <w:tcBorders>
              <w:top w:val="single" w:color="1F4E79" w:sz="1"/>
              <w:left w:val="single" w:color="1F4E79" w:sz="1"/>
              <w:bottom w:val="single" w:color="1F4E79" w:sz="1"/>
              <w:right w:val="single" w:color="1F4E79" w:sz="1"/>
            </w:tcBorders>
            <w:shd w:fill="375623" w:val="clear"/>
            <w:tcMar>
              <w:top w:type="dxa" w:w="120"/>
              <w:left w:type="dxa" w:w="120"/>
              <w:bottom w:type="dxa" w:w="120"/>
              <w:right w:type="dxa" w:w="120"/>
            </w:tcMar>
          </w:tcPr>
          <w:p>
            <w:pPr>
              <w:jc w:val="center"/>
            </w:pPr>
            <w:r>
              <w:rPr>
                <w:rFonts w:ascii="Arial" w:cs="Arial" w:eastAsia="Arial" w:hAnsi="Arial"/>
                <w:b/>
                <w:bCs/>
                <w:color w:val="FFFFFF"/>
                <w:sz w:val="48"/>
                <w:szCs w:val="48"/>
              </w:rPr>
              <w:t xml:space="preserve">6</w:t>
            </w:r>
          </w:p>
          <w:p>
            <w:pPr>
              <w:jc w:val="center"/>
            </w:pPr>
            <w:r>
              <w:rPr>
                <w:rFonts w:ascii="Arial" w:cs="Arial" w:eastAsia="Arial" w:hAnsi="Arial"/>
                <w:color w:val="FFFFFF"/>
                <w:sz w:val="18"/>
                <w:szCs w:val="18"/>
              </w:rPr>
              <w:t xml:space="preserve">Fraud Indicators Tracked</w:t>
            </w:r>
          </w:p>
        </w:tc>
      </w:tr>
    </w:tbl>
    <w:p>
      <w:pPr>
        <w:spacing w:before="24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C00000" w:val="clear"/>
            <w:tcMar>
              <w:top w:type="dxa" w:w="120"/>
              <w:left w:type="dxa" w:w="180"/>
              <w:bottom w:type="dxa" w:w="120"/>
              <w:right w:type="dxa" w:w="180"/>
            </w:tcMar>
          </w:tcPr>
          <w:p>
            <w:r>
              <w:rPr>
                <w:rFonts w:ascii="Arial" w:cs="Arial" w:eastAsia="Arial" w:hAnsi="Arial"/>
                <w:b/>
                <w:bCs/>
                <w:color w:val="FFFFFF"/>
                <w:sz w:val="28"/>
                <w:szCs w:val="28"/>
              </w:rPr>
              <w:t xml:space="preserve">THE PROBLEM</w:t>
            </w:r>
          </w:p>
        </w:tc>
      </w:tr>
      <w:tr>
        <w:tc>
          <w:tcPr>
            <w:tcW w:type="dxa" w:w="9360"/>
            <w:tcBorders>
              <w:top w:val="single" w:color="1F4E79" w:sz="1"/>
              <w:left w:val="single" w:color="1F4E79" w:sz="1"/>
              <w:bottom w:val="single" w:color="1F4E79" w:sz="1"/>
              <w:right w:val="single" w:color="1F4E79" w:sz="1"/>
            </w:tcBorders>
            <w:shd w:fill="FFF2F2" w:val="clear"/>
            <w:tcMar>
              <w:top w:type="dxa" w:w="160"/>
              <w:left w:type="dxa" w:w="200"/>
              <w:bottom w:type="dxa" w:w="160"/>
              <w:right w:type="dxa" w:w="200"/>
            </w:tcMar>
          </w:tcPr>
          <w:p>
            <w:pPr>
              <w:spacing w:before="80" w:after="120"/>
            </w:pPr>
            <w:r>
              <w:rPr>
                <w:rFonts w:ascii="Arial" w:cs="Arial" w:eastAsia="Arial" w:hAnsi="Arial"/>
                <w:b/>
                <w:bCs/>
                <w:color w:val="C00000"/>
                <w:sz w:val="26"/>
                <w:szCs w:val="26"/>
              </w:rPr>
              <w:t xml:space="preserve">Medicare Fraud Costs American Taxpayers Billions Every Year</w:t>
            </w:r>
          </w:p>
          <w:p>
            <w:pPr>
              <w:spacing w:before="80" w:after="80"/>
            </w:pPr>
            <w:r>
              <w:rPr>
                <w:rFonts w:ascii="Arial" w:cs="Arial" w:eastAsia="Arial" w:hAnsi="Arial"/>
                <w:sz w:val="22"/>
                <w:szCs w:val="22"/>
              </w:rPr>
              <w:t xml:space="preserve">Medicare is the largest health insurance program in the United States, covering over 65 million Americans and processing hundreds of billions of dollars in claims annually. Unfortunately, this scale makes it an attractive target for fraud, waste, and abuse.</w:t>
            </w:r>
          </w:p>
          <w:p>
            <w:pPr>
              <w:spacing w:before="80" w:after="80"/>
            </w:pPr>
            <w:r>
              <w:t xml:space="preserve"/>
            </w:r>
          </w:p>
          <w:p>
            <w:pPr>
              <w:spacing w:before="80" w:after="80"/>
            </w:pPr>
            <w:r>
              <w:rPr>
                <w:rFonts w:ascii="Arial" w:cs="Arial" w:eastAsia="Arial" w:hAnsi="Arial"/>
                <w:sz w:val="22"/>
                <w:szCs w:val="22"/>
              </w:rPr>
              <w:t xml:space="preserve">According to the Centers for Medicare &amp; Medicaid Services (CMS), improper payments — including fraudulent claims — cost the Medicare program tens of billions of dollars each year. Despite this, detecting fraud is incredibly difficult because:</w:t>
            </w:r>
          </w:p>
          <w:p>
            <w:pPr>
              <w:spacing w:before="80" w:after="8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Fraudulent billing rarely looks obviously wrong — it typically appears as slightly elevated billing across many claims over time</w:t>
            </w:r>
          </w:p>
          <w:p>
            <w:pPr>
              <w:pStyle w:val="ListParagraph"/>
              <w:numPr>
                <w:ilvl w:val="0"/>
                <w:numId w:val="2"/>
              </w:numPr>
              <w:spacing w:before="60" w:after="60"/>
            </w:pPr>
            <w:r>
              <w:rPr>
                <w:rFonts w:ascii="Arial" w:cs="Arial" w:eastAsia="Arial" w:hAnsi="Arial"/>
                <w:b w:val="false"/>
                <w:bCs w:val="false"/>
                <w:sz w:val="22"/>
                <w:szCs w:val="22"/>
              </w:rPr>
              <w:t xml:space="preserve">There are over 1 million active Medicare providers across the United States making manual review impossible</w:t>
            </w:r>
          </w:p>
          <w:p>
            <w:pPr>
              <w:pStyle w:val="ListParagraph"/>
              <w:numPr>
                <w:ilvl w:val="0"/>
                <w:numId w:val="2"/>
              </w:numPr>
              <w:spacing w:before="60" w:after="60"/>
            </w:pPr>
            <w:r>
              <w:rPr>
                <w:rFonts w:ascii="Arial" w:cs="Arial" w:eastAsia="Arial" w:hAnsi="Arial"/>
                <w:b w:val="false"/>
                <w:bCs w:val="false"/>
                <w:sz w:val="22"/>
                <w:szCs w:val="22"/>
              </w:rPr>
              <w:t xml:space="preserve">Traditional auditing is random or complaint-driven meaning most fraud goes undetected for years</w:t>
            </w:r>
          </w:p>
          <w:p>
            <w:pPr>
              <w:pStyle w:val="ListParagraph"/>
              <w:numPr>
                <w:ilvl w:val="0"/>
                <w:numId w:val="2"/>
              </w:numPr>
              <w:spacing w:before="60" w:after="60"/>
            </w:pPr>
            <w:r>
              <w:rPr>
                <w:rFonts w:ascii="Arial" w:cs="Arial" w:eastAsia="Arial" w:hAnsi="Arial"/>
                <w:b w:val="false"/>
                <w:bCs w:val="false"/>
                <w:sz w:val="22"/>
                <w:szCs w:val="22"/>
              </w:rPr>
              <w:t xml:space="preserve">Fraudulent providers often bill within technically acceptable ranges making pattern detection critical</w:t>
            </w:r>
          </w:p>
          <w:p>
            <w:pPr>
              <w:pStyle w:val="ListParagraph"/>
              <w:numPr>
                <w:ilvl w:val="0"/>
                <w:numId w:val="2"/>
              </w:numPr>
              <w:spacing w:before="60" w:after="60"/>
            </w:pPr>
            <w:r>
              <w:rPr>
                <w:rFonts w:ascii="Arial" w:cs="Arial" w:eastAsia="Arial" w:hAnsi="Arial"/>
                <w:b w:val="false"/>
                <w:bCs w:val="false"/>
                <w:sz w:val="22"/>
                <w:szCs w:val="22"/>
              </w:rPr>
              <w:t xml:space="preserve">No single metric reveals fraud — it requires analyzing multiple billing behaviors simultaneously</w:t>
            </w:r>
          </w:p>
          <w:p>
            <w:pPr>
              <w:spacing w:before="120" w:after="120"/>
            </w:pPr>
            <w:r>
              <w:t xml:space="preserve"/>
            </w:r>
          </w:p>
          <w:p>
            <w:pPr>
              <w:spacing w:before="80" w:after="80"/>
            </w:pPr>
            <w:r>
              <w:rPr>
                <w:rFonts w:ascii="Arial" w:cs="Arial" w:eastAsia="Arial" w:hAnsi="Arial"/>
                <w:b/>
                <w:bCs/>
                <w:sz w:val="22"/>
                <w:szCs w:val="22"/>
              </w:rPr>
              <w:t xml:space="preserve">Common Medicare fraud schemes include:</w:t>
            </w:r>
          </w:p>
          <w:p>
            <w:pPr>
              <w:spacing w:before="60" w:after="6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Upcoding — billing for more expensive procedures than were actually performed</w:t>
            </w:r>
          </w:p>
          <w:p>
            <w:pPr>
              <w:pStyle w:val="ListParagraph"/>
              <w:numPr>
                <w:ilvl w:val="0"/>
                <w:numId w:val="2"/>
              </w:numPr>
              <w:spacing w:before="60" w:after="60"/>
            </w:pPr>
            <w:r>
              <w:rPr>
                <w:rFonts w:ascii="Arial" w:cs="Arial" w:eastAsia="Arial" w:hAnsi="Arial"/>
                <w:b w:val="false"/>
                <w:bCs w:val="false"/>
                <w:sz w:val="22"/>
                <w:szCs w:val="22"/>
              </w:rPr>
              <w:t xml:space="preserve">Unbundling — billing separately for procedures that should be billed together at a lower rate</w:t>
            </w:r>
          </w:p>
          <w:p>
            <w:pPr>
              <w:pStyle w:val="ListParagraph"/>
              <w:numPr>
                <w:ilvl w:val="0"/>
                <w:numId w:val="2"/>
              </w:numPr>
              <w:spacing w:before="60" w:after="60"/>
            </w:pPr>
            <w:r>
              <w:rPr>
                <w:rFonts w:ascii="Arial" w:cs="Arial" w:eastAsia="Arial" w:hAnsi="Arial"/>
                <w:b w:val="false"/>
                <w:bCs w:val="false"/>
                <w:sz w:val="22"/>
                <w:szCs w:val="22"/>
              </w:rPr>
              <w:t xml:space="preserve">Phantom billing — submitting claims for services never rendered</w:t>
            </w:r>
          </w:p>
          <w:p>
            <w:pPr>
              <w:pStyle w:val="ListParagraph"/>
              <w:numPr>
                <w:ilvl w:val="0"/>
                <w:numId w:val="2"/>
              </w:numPr>
              <w:spacing w:before="60" w:after="60"/>
            </w:pPr>
            <w:r>
              <w:rPr>
                <w:rFonts w:ascii="Arial" w:cs="Arial" w:eastAsia="Arial" w:hAnsi="Arial"/>
                <w:b w:val="false"/>
                <w:bCs w:val="false"/>
                <w:sz w:val="22"/>
                <w:szCs w:val="22"/>
              </w:rPr>
              <w:t xml:space="preserve">Prescription fraud — prescribing unnecessary or excessive medications to inflate drug costs</w:t>
            </w:r>
          </w:p>
          <w:p>
            <w:pPr>
              <w:pStyle w:val="ListParagraph"/>
              <w:numPr>
                <w:ilvl w:val="0"/>
                <w:numId w:val="2"/>
              </w:numPr>
              <w:spacing w:before="60" w:after="60"/>
            </w:pPr>
            <w:r>
              <w:rPr>
                <w:rFonts w:ascii="Arial" w:cs="Arial" w:eastAsia="Arial" w:hAnsi="Arial"/>
                <w:b w:val="false"/>
                <w:bCs w:val="false"/>
                <w:sz w:val="22"/>
                <w:szCs w:val="22"/>
              </w:rPr>
              <w:t xml:space="preserve">Ping-ponging — referring patients between providers unnecessarily to generate additional claims</w:t>
            </w:r>
          </w:p>
          <w:p>
            <w:pPr>
              <w:spacing w:before="120" w:after="120"/>
            </w:pPr>
            <w:r>
              <w:t xml:space="preserve"/>
            </w:r>
          </w:p>
          <w:p>
            <w:pPr>
              <w:spacing w:before="80" w:after="80"/>
            </w:pPr>
            <w:r>
              <w:rPr>
                <w:rFonts w:ascii="Arial" w:cs="Arial" w:eastAsia="Arial" w:hAnsi="Arial"/>
                <w:i/>
                <w:iCs/>
                <w:color w:val="595959"/>
                <w:sz w:val="22"/>
                <w:szCs w:val="22"/>
              </w:rPr>
              <w:t xml:space="preserve">The challenge is not identifying fraud after it has been confirmed — it is prioritizing which of the 691,000+ Medicare providers warrant a closer look before a formal investigation begins. Without a data-driven system, investigators are left guessing where to focus limited audit resources.</w:t>
            </w:r>
          </w:p>
        </w:tc>
      </w:tr>
    </w:tbl>
    <w:p>
      <w:pPr>
        <w:spacing w:before="24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20"/>
              <w:left w:type="dxa" w:w="180"/>
              <w:bottom w:type="dxa" w:w="120"/>
              <w:right w:type="dxa" w:w="180"/>
            </w:tcMar>
          </w:tcPr>
          <w:p>
            <w:r>
              <w:rPr>
                <w:rFonts w:ascii="Arial" w:cs="Arial" w:eastAsia="Arial" w:hAnsi="Arial"/>
                <w:b/>
                <w:bCs/>
                <w:color w:val="FFFFFF"/>
                <w:sz w:val="28"/>
                <w:szCs w:val="28"/>
              </w:rPr>
              <w:t xml:space="preserve">THE SOLUTION</w:t>
            </w:r>
          </w:p>
        </w:tc>
      </w:tr>
      <w:tr>
        <w:tc>
          <w:tcPr>
            <w:tcW w:type="dxa" w:w="9360"/>
            <w:tcBorders>
              <w:top w:val="single" w:color="1F4E79" w:sz="1"/>
              <w:left w:val="single" w:color="1F4E79" w:sz="1"/>
              <w:bottom w:val="single" w:color="1F4E79" w:sz="1"/>
              <w:right w:val="single" w:color="1F4E79" w:sz="1"/>
            </w:tcBorders>
            <w:shd w:fill="EBF3FB" w:val="clear"/>
            <w:tcMar>
              <w:top w:type="dxa" w:w="160"/>
              <w:left w:type="dxa" w:w="200"/>
              <w:bottom w:type="dxa" w:w="160"/>
              <w:right w:type="dxa" w:w="200"/>
            </w:tcMar>
          </w:tcPr>
          <w:p>
            <w:pPr>
              <w:spacing w:before="80" w:after="120"/>
            </w:pPr>
            <w:r>
              <w:rPr>
                <w:rFonts w:ascii="Arial" w:cs="Arial" w:eastAsia="Arial" w:hAnsi="Arial"/>
                <w:b/>
                <w:bCs/>
                <w:color w:val="1F4E79"/>
                <w:sz w:val="26"/>
                <w:szCs w:val="26"/>
              </w:rPr>
              <w:t xml:space="preserve">A Provider-Level Anomaly Detection &amp; Risk Scoring System</w:t>
            </w:r>
          </w:p>
          <w:p>
            <w:pPr>
              <w:spacing w:before="80" w:after="80"/>
            </w:pPr>
            <w:r>
              <w:rPr>
                <w:rFonts w:ascii="Arial" w:cs="Arial" w:eastAsia="Arial" w:hAnsi="Arial"/>
                <w:sz w:val="22"/>
                <w:szCs w:val="22"/>
              </w:rPr>
              <w:t xml:space="preserve">We built a data-driven fraud detection system using publicly available CMS Medicare data that automatically identifies providers whose billing behavior is statistically abnormal compared to their peers. Rather than manually reviewing hundreds of thousands of providers, investigators can now focus their limited resources on the 130 providers flagged as High Risk — a list generated entirely by data, not guesswork.</w:t>
            </w:r>
          </w:p>
          <w:p>
            <w:pPr>
              <w:spacing w:before="120" w:after="120"/>
            </w:pPr>
            <w:r>
              <w:t xml:space="preserve"/>
            </w:r>
          </w:p>
          <w:p>
            <w:pPr>
              <w:spacing w:before="80" w:after="80"/>
            </w:pPr>
            <w:r>
              <w:rPr>
                <w:rFonts w:ascii="Arial" w:cs="Arial" w:eastAsia="Arial" w:hAnsi="Arial"/>
                <w:b/>
                <w:bCs/>
                <w:color w:val="2E75B6"/>
                <w:sz w:val="24"/>
                <w:szCs w:val="24"/>
              </w:rPr>
              <w:t xml:space="preserve">How It Works</w:t>
            </w:r>
          </w:p>
          <w:p>
            <w:pPr>
              <w:spacing w:before="60" w:after="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8360"/>
            </w:tblGrid>
            <w:tr>
              <w:tc>
                <w:tcPr>
                  <w:tcW w:type="dxa" w:w="600"/>
                  <w:tcBorders>
                    <w:top w:val="single" w:color="1F4E79" w:sz="1"/>
                    <w:left w:val="single" w:color="1F4E79" w:sz="1"/>
                    <w:bottom w:val="single" w:color="1F4E79" w:sz="1"/>
                    <w:right w:val="single" w:color="1F4E79" w:sz="1"/>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4"/>
                      <w:szCs w:val="24"/>
                    </w:rPr>
                    <w:t xml:space="preserve">01</w:t>
                  </w:r>
                </w:p>
              </w:tc>
              <w:tc>
                <w:tcPr>
                  <w:tcW w:type="dxa" w:w="8360"/>
                  <w:tcBorders>
                    <w:top w:val="single" w:color="1F4E79" w:sz="1"/>
                    <w:left w:val="single" w:color="1F4E79" w:sz="1"/>
                    <w:bottom w:val="single" w:color="1F4E79" w:sz="1"/>
                    <w:right w:val="single" w:color="1F4E79" w:sz="1"/>
                  </w:tcBorders>
                  <w:shd w:fill="FFFFFF" w:val="clear"/>
                  <w:tcMar>
                    <w:top w:type="dxa" w:w="100"/>
                    <w:left w:type="dxa" w:w="160"/>
                    <w:bottom w:type="dxa" w:w="100"/>
                    <w:right w:type="dxa" w:w="160"/>
                  </w:tcMar>
                </w:tcPr>
                <w:p>
                  <w:pPr>
                    <w:spacing w:before="0" w:after="40"/>
                  </w:pPr>
                  <w:r>
                    <w:rPr>
                      <w:rFonts w:ascii="Arial" w:cs="Arial" w:eastAsia="Arial" w:hAnsi="Arial"/>
                      <w:b/>
                      <w:bCs/>
                      <w:color w:val="1F4E79"/>
                      <w:sz w:val="22"/>
                      <w:szCs w:val="22"/>
                    </w:rPr>
                    <w:t xml:space="preserve">Data Engineering</w:t>
                  </w:r>
                </w:p>
                <w:p>
                  <w:pPr>
                    <w:spacing w:before="0" w:after="0"/>
                  </w:pPr>
                  <w:r>
                    <w:rPr>
                      <w:rFonts w:ascii="Arial" w:cs="Arial" w:eastAsia="Arial" w:hAnsi="Arial"/>
                      <w:color w:val="404040"/>
                      <w:sz w:val="20"/>
                      <w:szCs w:val="20"/>
                    </w:rPr>
                    <w:t xml:space="preserve">Loaded and cleaned 5.6 million rows of CMS Medicare Part B and 8+ million rows of Part D data into a MySQL database. Standardized all numeric fields, removed non-US territories, and built aggregated provider-level summary tables.</w:t>
                  </w:r>
                </w:p>
              </w:tc>
            </w:tr>
            <w:tr>
              <w:tc>
                <w:tcPr>
                  <w:tcW w:type="dxa" w:w="600"/>
                  <w:tcBorders>
                    <w:top w:val="single" w:color="1F4E79" w:sz="1"/>
                    <w:left w:val="single" w:color="1F4E79" w:sz="1"/>
                    <w:bottom w:val="single" w:color="1F4E79" w:sz="1"/>
                    <w:right w:val="single" w:color="1F4E79" w:sz="1"/>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4"/>
                      <w:szCs w:val="24"/>
                    </w:rPr>
                    <w:t xml:space="preserve">02</w:t>
                  </w:r>
                </w:p>
              </w:tc>
              <w:tc>
                <w:tcPr>
                  <w:tcW w:type="dxa" w:w="8360"/>
                  <w:tcBorders>
                    <w:top w:val="single" w:color="1F4E79" w:sz="1"/>
                    <w:left w:val="single" w:color="1F4E79" w:sz="1"/>
                    <w:bottom w:val="single" w:color="1F4E79" w:sz="1"/>
                    <w:right w:val="single" w:color="1F4E79" w:sz="1"/>
                  </w:tcBorders>
                  <w:shd w:fill="EBF3FB" w:val="clear"/>
                  <w:tcMar>
                    <w:top w:type="dxa" w:w="100"/>
                    <w:left w:type="dxa" w:w="160"/>
                    <w:bottom w:type="dxa" w:w="100"/>
                    <w:right w:type="dxa" w:w="160"/>
                  </w:tcMar>
                </w:tcPr>
                <w:p>
                  <w:pPr>
                    <w:spacing w:before="0" w:after="40"/>
                  </w:pPr>
                  <w:r>
                    <w:rPr>
                      <w:rFonts w:ascii="Arial" w:cs="Arial" w:eastAsia="Arial" w:hAnsi="Arial"/>
                      <w:b/>
                      <w:bCs/>
                      <w:color w:val="1F4E79"/>
                      <w:sz w:val="22"/>
                      <w:szCs w:val="22"/>
                    </w:rPr>
                    <w:t xml:space="preserve">Peer Group Definition</w:t>
                  </w:r>
                </w:p>
                <w:p>
                  <w:pPr>
                    <w:spacing w:before="0" w:after="0"/>
                  </w:pPr>
                  <w:r>
                    <w:rPr>
                      <w:rFonts w:ascii="Arial" w:cs="Arial" w:eastAsia="Arial" w:hAnsi="Arial"/>
                      <w:color w:val="404040"/>
                      <w:sz w:val="20"/>
                      <w:szCs w:val="20"/>
                    </w:rPr>
                    <w:t xml:space="preserve">Grouped providers into peer groups defined by their specialty type and state. This ensures a Family Practice doctor in Texas is only compared to other Family Practice doctors in Texas — not to surgeons or providers in different states.</w:t>
                  </w:r>
                </w:p>
              </w:tc>
            </w:tr>
            <w:tr>
              <w:tc>
                <w:tcPr>
                  <w:tcW w:type="dxa" w:w="600"/>
                  <w:tcBorders>
                    <w:top w:val="single" w:color="1F4E79" w:sz="1"/>
                    <w:left w:val="single" w:color="1F4E79" w:sz="1"/>
                    <w:bottom w:val="single" w:color="1F4E79" w:sz="1"/>
                    <w:right w:val="single" w:color="1F4E79" w:sz="1"/>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4"/>
                      <w:szCs w:val="24"/>
                    </w:rPr>
                    <w:t xml:space="preserve">03</w:t>
                  </w:r>
                </w:p>
              </w:tc>
              <w:tc>
                <w:tcPr>
                  <w:tcW w:type="dxa" w:w="8360"/>
                  <w:tcBorders>
                    <w:top w:val="single" w:color="1F4E79" w:sz="1"/>
                    <w:left w:val="single" w:color="1F4E79" w:sz="1"/>
                    <w:bottom w:val="single" w:color="1F4E79" w:sz="1"/>
                    <w:right w:val="single" w:color="1F4E79" w:sz="1"/>
                  </w:tcBorders>
                  <w:shd w:fill="FFFFFF" w:val="clear"/>
                  <w:tcMar>
                    <w:top w:type="dxa" w:w="100"/>
                    <w:left w:type="dxa" w:w="160"/>
                    <w:bottom w:type="dxa" w:w="100"/>
                    <w:right w:type="dxa" w:w="160"/>
                  </w:tcMar>
                </w:tcPr>
                <w:p>
                  <w:pPr>
                    <w:spacing w:before="0" w:after="40"/>
                  </w:pPr>
                  <w:r>
                    <w:rPr>
                      <w:rFonts w:ascii="Arial" w:cs="Arial" w:eastAsia="Arial" w:hAnsi="Arial"/>
                      <w:b/>
                      <w:bCs/>
                      <w:color w:val="1F4E79"/>
                      <w:sz w:val="22"/>
                      <w:szCs w:val="22"/>
                    </w:rPr>
                    <w:t xml:space="preserve">Feature Engineering</w:t>
                  </w:r>
                </w:p>
                <w:p>
                  <w:pPr>
                    <w:spacing w:before="0" w:after="0"/>
                  </w:pPr>
                  <w:r>
                    <w:rPr>
                      <w:rFonts w:ascii="Arial" w:cs="Arial" w:eastAsia="Arial" w:hAnsi="Arial"/>
                      <w:color w:val="404040"/>
                      <w:sz w:val="20"/>
                      <w:szCs w:val="20"/>
                    </w:rPr>
                    <w:t xml:space="preserve">Calculated six key fraud indicators for every provider: services per beneficiary, average payment per service, charge-to-payment ratio, drug cost per beneficiary, claims per beneficiary, and drug cost per claim.</w:t>
                  </w:r>
                </w:p>
              </w:tc>
            </w:tr>
            <w:tr>
              <w:tc>
                <w:tcPr>
                  <w:tcW w:type="dxa" w:w="600"/>
                  <w:tcBorders>
                    <w:top w:val="single" w:color="1F4E79" w:sz="1"/>
                    <w:left w:val="single" w:color="1F4E79" w:sz="1"/>
                    <w:bottom w:val="single" w:color="1F4E79" w:sz="1"/>
                    <w:right w:val="single" w:color="1F4E79" w:sz="1"/>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4"/>
                      <w:szCs w:val="24"/>
                    </w:rPr>
                    <w:t xml:space="preserve">04</w:t>
                  </w:r>
                </w:p>
              </w:tc>
              <w:tc>
                <w:tcPr>
                  <w:tcW w:type="dxa" w:w="8360"/>
                  <w:tcBorders>
                    <w:top w:val="single" w:color="1F4E79" w:sz="1"/>
                    <w:left w:val="single" w:color="1F4E79" w:sz="1"/>
                    <w:bottom w:val="single" w:color="1F4E79" w:sz="1"/>
                    <w:right w:val="single" w:color="1F4E79" w:sz="1"/>
                  </w:tcBorders>
                  <w:shd w:fill="EBF3FB" w:val="clear"/>
                  <w:tcMar>
                    <w:top w:type="dxa" w:w="100"/>
                    <w:left w:type="dxa" w:w="160"/>
                    <w:bottom w:type="dxa" w:w="100"/>
                    <w:right w:type="dxa" w:w="160"/>
                  </w:tcMar>
                </w:tcPr>
                <w:p>
                  <w:pPr>
                    <w:spacing w:before="0" w:after="40"/>
                  </w:pPr>
                  <w:r>
                    <w:rPr>
                      <w:rFonts w:ascii="Arial" w:cs="Arial" w:eastAsia="Arial" w:hAnsi="Arial"/>
                      <w:b/>
                      <w:bCs/>
                      <w:color w:val="1F4E79"/>
                      <w:sz w:val="22"/>
                      <w:szCs w:val="22"/>
                    </w:rPr>
                    <w:t xml:space="preserve">Z-Score Analysis</w:t>
                  </w:r>
                </w:p>
                <w:p>
                  <w:pPr>
                    <w:spacing w:before="0" w:after="0"/>
                  </w:pPr>
                  <w:r>
                    <w:rPr>
                      <w:rFonts w:ascii="Arial" w:cs="Arial" w:eastAsia="Arial" w:hAnsi="Arial"/>
                      <w:color w:val="404040"/>
                      <w:sz w:val="20"/>
                      <w:szCs w:val="20"/>
                    </w:rPr>
                    <w:t xml:space="preserve">Calculated Z-scores for every provider against their peer group for each fraud indicator. A Z-score measures how many standard deviations above the peer group average a provider falls. Z &gt;= 3 triggers a fraud flag.</w:t>
                  </w:r>
                </w:p>
              </w:tc>
            </w:tr>
            <w:tr>
              <w:tc>
                <w:tcPr>
                  <w:tcW w:type="dxa" w:w="600"/>
                  <w:tcBorders>
                    <w:top w:val="single" w:color="1F4E79" w:sz="1"/>
                    <w:left w:val="single" w:color="1F4E79" w:sz="1"/>
                    <w:bottom w:val="single" w:color="1F4E79" w:sz="1"/>
                    <w:right w:val="single" w:color="1F4E79" w:sz="1"/>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4"/>
                      <w:szCs w:val="24"/>
                    </w:rPr>
                    <w:t xml:space="preserve">05</w:t>
                  </w:r>
                </w:p>
              </w:tc>
              <w:tc>
                <w:tcPr>
                  <w:tcW w:type="dxa" w:w="8360"/>
                  <w:tcBorders>
                    <w:top w:val="single" w:color="1F4E79" w:sz="1"/>
                    <w:left w:val="single" w:color="1F4E79" w:sz="1"/>
                    <w:bottom w:val="single" w:color="1F4E79" w:sz="1"/>
                    <w:right w:val="single" w:color="1F4E79" w:sz="1"/>
                  </w:tcBorders>
                  <w:shd w:fill="FFFFFF" w:val="clear"/>
                  <w:tcMar>
                    <w:top w:type="dxa" w:w="100"/>
                    <w:left w:type="dxa" w:w="160"/>
                    <w:bottom w:type="dxa" w:w="100"/>
                    <w:right w:type="dxa" w:w="160"/>
                  </w:tcMar>
                </w:tcPr>
                <w:p>
                  <w:pPr>
                    <w:spacing w:before="0" w:after="40"/>
                  </w:pPr>
                  <w:r>
                    <w:rPr>
                      <w:rFonts w:ascii="Arial" w:cs="Arial" w:eastAsia="Arial" w:hAnsi="Arial"/>
                      <w:b/>
                      <w:bCs/>
                      <w:color w:val="1F4E79"/>
                      <w:sz w:val="22"/>
                      <w:szCs w:val="22"/>
                    </w:rPr>
                    <w:t xml:space="preserve">Risk Scoring</w:t>
                  </w:r>
                </w:p>
                <w:p>
                  <w:pPr>
                    <w:spacing w:before="0" w:after="0"/>
                  </w:pPr>
                  <w:r>
                    <w:rPr>
                      <w:rFonts w:ascii="Arial" w:cs="Arial" w:eastAsia="Arial" w:hAnsi="Arial"/>
                      <w:color w:val="404040"/>
                      <w:sz w:val="20"/>
                      <w:szCs w:val="20"/>
                    </w:rPr>
                    <w:t xml:space="preserve">Combined all six Z-scores into a weighted composite fraud risk score from 0 to 100. Providers are classified into three tiers: High Risk (60+), Medium Risk (30-59), and Low Risk (0-29).</w:t>
                  </w:r>
                </w:p>
              </w:tc>
            </w:tr>
            <w:tr>
              <w:tc>
                <w:tcPr>
                  <w:tcW w:type="dxa" w:w="600"/>
                  <w:tcBorders>
                    <w:top w:val="single" w:color="1F4E79" w:sz="1"/>
                    <w:left w:val="single" w:color="1F4E79" w:sz="1"/>
                    <w:bottom w:val="single" w:color="1F4E79" w:sz="1"/>
                    <w:right w:val="single" w:color="1F4E79" w:sz="1"/>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4"/>
                      <w:szCs w:val="24"/>
                    </w:rPr>
                    <w:t xml:space="preserve">06</w:t>
                  </w:r>
                </w:p>
              </w:tc>
              <w:tc>
                <w:tcPr>
                  <w:tcW w:type="dxa" w:w="8360"/>
                  <w:tcBorders>
                    <w:top w:val="single" w:color="1F4E79" w:sz="1"/>
                    <w:left w:val="single" w:color="1F4E79" w:sz="1"/>
                    <w:bottom w:val="single" w:color="1F4E79" w:sz="1"/>
                    <w:right w:val="single" w:color="1F4E79" w:sz="1"/>
                  </w:tcBorders>
                  <w:shd w:fill="EBF3FB" w:val="clear"/>
                  <w:tcMar>
                    <w:top w:type="dxa" w:w="100"/>
                    <w:left w:type="dxa" w:w="160"/>
                    <w:bottom w:type="dxa" w:w="100"/>
                    <w:right w:type="dxa" w:w="160"/>
                  </w:tcMar>
                </w:tcPr>
                <w:p>
                  <w:pPr>
                    <w:spacing w:before="0" w:after="40"/>
                  </w:pPr>
                  <w:r>
                    <w:rPr>
                      <w:rFonts w:ascii="Arial" w:cs="Arial" w:eastAsia="Arial" w:hAnsi="Arial"/>
                      <w:b/>
                      <w:bCs/>
                      <w:color w:val="1F4E79"/>
                      <w:sz w:val="22"/>
                      <w:szCs w:val="22"/>
                    </w:rPr>
                    <w:t xml:space="preserve">Power BI Dashboard</w:t>
                  </w:r>
                </w:p>
                <w:p>
                  <w:pPr>
                    <w:spacing w:before="0" w:after="0"/>
                  </w:pPr>
                  <w:r>
                    <w:rPr>
                      <w:rFonts w:ascii="Arial" w:cs="Arial" w:eastAsia="Arial" w:hAnsi="Arial"/>
                      <w:color w:val="404040"/>
                      <w:sz w:val="20"/>
                      <w:szCs w:val="20"/>
                    </w:rPr>
                    <w:t xml:space="preserve">Built an interactive 5-page Power BI dashboard allowing investigators to explore results by specialty, state, and individual provider — with drill-down capability to see exactly which fraud indicators triggered the risk score.</w:t>
                  </w:r>
                </w:p>
              </w:tc>
            </w:tr>
          </w:tbl>
          <w:p/>
        </w:tc>
      </w:tr>
    </w:tbl>
    <w:p>
      <w:pPr>
        <w:spacing w:before="24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375623" w:val="clear"/>
            <w:tcMar>
              <w:top w:type="dxa" w:w="120"/>
              <w:left w:type="dxa" w:w="180"/>
              <w:bottom w:type="dxa" w:w="120"/>
              <w:right w:type="dxa" w:w="180"/>
            </w:tcMar>
          </w:tcPr>
          <w:p>
            <w:r>
              <w:rPr>
                <w:rFonts w:ascii="Arial" w:cs="Arial" w:eastAsia="Arial" w:hAnsi="Arial"/>
                <w:b/>
                <w:bCs/>
                <w:color w:val="FFFFFF"/>
                <w:sz w:val="28"/>
                <w:szCs w:val="28"/>
              </w:rPr>
              <w:t xml:space="preserve">WHY THIS APPROACH WORKS</w:t>
            </w:r>
          </w:p>
        </w:tc>
      </w:tr>
      <w:tr>
        <w:tc>
          <w:tcPr>
            <w:tcW w:type="dxa" w:w="9360"/>
            <w:tcBorders>
              <w:top w:val="single" w:color="1F4E79" w:sz="1"/>
              <w:left w:val="single" w:color="1F4E79" w:sz="1"/>
              <w:bottom w:val="single" w:color="1F4E79" w:sz="1"/>
              <w:right w:val="single" w:color="1F4E79" w:sz="1"/>
            </w:tcBorders>
            <w:shd w:fill="F2FFF2" w:val="clear"/>
            <w:tcMar>
              <w:top w:type="dxa" w:w="160"/>
              <w:left w:type="dxa" w:w="200"/>
              <w:bottom w:type="dxa" w:w="160"/>
              <w:right w:type="dxa" w:w="200"/>
            </w:tcMar>
          </w:tcPr>
          <w:p>
            <w:pPr>
              <w:spacing w:before="80" w:after="120"/>
            </w:pPr>
            <w:r>
              <w:rPr>
                <w:rFonts w:ascii="Arial" w:cs="Arial" w:eastAsia="Arial" w:hAnsi="Arial"/>
                <w:b/>
                <w:bCs/>
                <w:color w:val="375623"/>
                <w:sz w:val="26"/>
                <w:szCs w:val="26"/>
              </w:rPr>
              <w:t xml:space="preserve">Data-Driven Audit Targeting vs. Traditional Methods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48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Factor</w:t>
                  </w:r>
                </w:p>
              </w:tc>
              <w:tc>
                <w:tcPr>
                  <w:tcW w:type="dxa" w:w="3480"/>
                  <w:tcBorders>
                    <w:top w:val="single" w:color="1F4E79" w:sz="1"/>
                    <w:left w:val="single" w:color="1F4E79" w:sz="1"/>
                    <w:bottom w:val="single" w:color="1F4E79" w:sz="1"/>
                    <w:right w:val="single" w:color="1F4E79" w:sz="1"/>
                  </w:tcBorders>
                  <w:shd w:fill="C00000" w:val="clear"/>
                  <w:tcMar>
                    <w:top w:type="dxa" w:w="100"/>
                    <w:left w:type="dxa" w:w="120"/>
                    <w:bottom w:type="dxa" w:w="100"/>
                    <w:right w:type="dxa" w:w="120"/>
                  </w:tcMar>
                </w:tcPr>
                <w:p>
                  <w:r>
                    <w:rPr>
                      <w:rFonts w:ascii="Arial" w:cs="Arial" w:eastAsia="Arial" w:hAnsi="Arial"/>
                      <w:b/>
                      <w:bCs/>
                      <w:color w:val="FFFFFF"/>
                      <w:sz w:val="20"/>
                      <w:szCs w:val="20"/>
                    </w:rPr>
                    <w:t xml:space="preserve">Traditional Auditing</w:t>
                  </w:r>
                </w:p>
              </w:tc>
              <w:tc>
                <w:tcPr>
                  <w:tcW w:type="dxa" w:w="3480"/>
                  <w:tcBorders>
                    <w:top w:val="single" w:color="1F4E79" w:sz="1"/>
                    <w:left w:val="single" w:color="1F4E79" w:sz="1"/>
                    <w:bottom w:val="single" w:color="1F4E79" w:sz="1"/>
                    <w:right w:val="single" w:color="1F4E79" w:sz="1"/>
                  </w:tcBorders>
                  <w:shd w:fill="375623" w:val="clear"/>
                  <w:tcMar>
                    <w:top w:type="dxa" w:w="100"/>
                    <w:left w:type="dxa" w:w="120"/>
                    <w:bottom w:type="dxa" w:w="100"/>
                    <w:right w:type="dxa" w:w="120"/>
                  </w:tcMar>
                </w:tcPr>
                <w:p>
                  <w:r>
                    <w:rPr>
                      <w:rFonts w:ascii="Arial" w:cs="Arial" w:eastAsia="Arial" w:hAnsi="Arial"/>
                      <w:b/>
                      <w:bCs/>
                      <w:color w:val="FFFFFF"/>
                      <w:sz w:val="20"/>
                      <w:szCs w:val="20"/>
                    </w:rPr>
                    <w:t xml:space="preserve">This System</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Provider Coverage</w:t>
                  </w:r>
                </w:p>
              </w:tc>
              <w:tc>
                <w:tcPr>
                  <w:tcW w:type="dxa" w:w="34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color w:val="595959"/>
                      <w:sz w:val="20"/>
                      <w:szCs w:val="20"/>
                    </w:rPr>
                    <w:t xml:space="preserve">Random sample or complaint-driven</w:t>
                  </w:r>
                </w:p>
              </w:tc>
              <w:tc>
                <w:tcPr>
                  <w:tcW w:type="dxa" w:w="3480"/>
                  <w:tcBorders>
                    <w:top w:val="single" w:color="CCCCCC" w:sz="1"/>
                    <w:left w:val="single" w:color="CCCCCC" w:sz="1"/>
                    <w:bottom w:val="single" w:color="CCCCCC" w:sz="1"/>
                    <w:right w:val="single" w:color="CCCCCC" w:sz="1"/>
                  </w:tcBorders>
                  <w:shd w:fill="F2FFF2" w:val="clear"/>
                  <w:tcMar>
                    <w:top w:type="dxa" w:w="80"/>
                    <w:left w:type="dxa" w:w="120"/>
                    <w:bottom w:type="dxa" w:w="80"/>
                    <w:right w:type="dxa" w:w="120"/>
                  </w:tcMar>
                </w:tcPr>
                <w:p>
                  <w:r>
                    <w:rPr>
                      <w:rFonts w:ascii="Arial" w:cs="Arial" w:eastAsia="Arial" w:hAnsi="Arial"/>
                      <w:color w:val="375623"/>
                      <w:sz w:val="20"/>
                      <w:szCs w:val="20"/>
                    </w:rPr>
                    <w:t xml:space="preserve">All 691,000+ providers analyzed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Time to Flag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Months to years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20"/>
                      <w:szCs w:val="20"/>
                    </w:rPr>
                    <w:t xml:space="preserve">Automated — runs on demand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Bias Risk</w:t>
                  </w:r>
                </w:p>
              </w:tc>
              <w:tc>
                <w:tcPr>
                  <w:tcW w:type="dxa" w:w="34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color w:val="595959"/>
                      <w:sz w:val="20"/>
                      <w:szCs w:val="20"/>
                    </w:rPr>
                    <w:t xml:space="preserve">High — depends on who complains</w:t>
                  </w:r>
                </w:p>
              </w:tc>
              <w:tc>
                <w:tcPr>
                  <w:tcW w:type="dxa" w:w="3480"/>
                  <w:tcBorders>
                    <w:top w:val="single" w:color="CCCCCC" w:sz="1"/>
                    <w:left w:val="single" w:color="CCCCCC" w:sz="1"/>
                    <w:bottom w:val="single" w:color="CCCCCC" w:sz="1"/>
                    <w:right w:val="single" w:color="CCCCCC" w:sz="1"/>
                  </w:tcBorders>
                  <w:shd w:fill="F2FFF2" w:val="clear"/>
                  <w:tcMar>
                    <w:top w:type="dxa" w:w="80"/>
                    <w:left w:type="dxa" w:w="120"/>
                    <w:bottom w:type="dxa" w:w="80"/>
                    <w:right w:type="dxa" w:w="120"/>
                  </w:tcMar>
                </w:tcPr>
                <w:p>
                  <w:r>
                    <w:rPr>
                      <w:rFonts w:ascii="Arial" w:cs="Arial" w:eastAsia="Arial" w:hAnsi="Arial"/>
                      <w:color w:val="375623"/>
                      <w:sz w:val="20"/>
                      <w:szCs w:val="20"/>
                    </w:rPr>
                    <w:t xml:space="preserve">Low — purely statistical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Peer Comparison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Manual, inconsistent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20"/>
                      <w:szCs w:val="20"/>
                    </w:rPr>
                    <w:t xml:space="preserve">Automated by specialty + state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Metrics Analyzed</w:t>
                  </w:r>
                </w:p>
              </w:tc>
              <w:tc>
                <w:tcPr>
                  <w:tcW w:type="dxa" w:w="34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color w:val="595959"/>
                      <w:sz w:val="20"/>
                      <w:szCs w:val="20"/>
                    </w:rPr>
                    <w:t xml:space="preserve">1-2 metrics per audit</w:t>
                  </w:r>
                </w:p>
              </w:tc>
              <w:tc>
                <w:tcPr>
                  <w:tcW w:type="dxa" w:w="3480"/>
                  <w:tcBorders>
                    <w:top w:val="single" w:color="CCCCCC" w:sz="1"/>
                    <w:left w:val="single" w:color="CCCCCC" w:sz="1"/>
                    <w:bottom w:val="single" w:color="CCCCCC" w:sz="1"/>
                    <w:right w:val="single" w:color="CCCCCC" w:sz="1"/>
                  </w:tcBorders>
                  <w:shd w:fill="F2FFF2" w:val="clear"/>
                  <w:tcMar>
                    <w:top w:type="dxa" w:w="80"/>
                    <w:left w:type="dxa" w:w="120"/>
                    <w:bottom w:type="dxa" w:w="80"/>
                    <w:right w:type="dxa" w:w="120"/>
                  </w:tcMar>
                </w:tcPr>
                <w:p>
                  <w:r>
                    <w:rPr>
                      <w:rFonts w:ascii="Arial" w:cs="Arial" w:eastAsia="Arial" w:hAnsi="Arial"/>
                      <w:color w:val="375623"/>
                      <w:sz w:val="20"/>
                      <w:szCs w:val="20"/>
                    </w:rPr>
                    <w:t xml:space="preserve">6 simultaneous fraud indicators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Output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Individual case files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20"/>
                      <w:szCs w:val="20"/>
                    </w:rPr>
                    <w:t xml:space="preserve">Ranked risk scores for all providers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Scalability</w:t>
                  </w:r>
                </w:p>
              </w:tc>
              <w:tc>
                <w:tcPr>
                  <w:tcW w:type="dxa" w:w="34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color w:val="595959"/>
                      <w:sz w:val="20"/>
                      <w:szCs w:val="20"/>
                    </w:rPr>
                    <w:t xml:space="preserve">Limited by investigator capacity</w:t>
                  </w:r>
                </w:p>
              </w:tc>
              <w:tc>
                <w:tcPr>
                  <w:tcW w:type="dxa" w:w="3480"/>
                  <w:tcBorders>
                    <w:top w:val="single" w:color="CCCCCC" w:sz="1"/>
                    <w:left w:val="single" w:color="CCCCCC" w:sz="1"/>
                    <w:bottom w:val="single" w:color="CCCCCC" w:sz="1"/>
                    <w:right w:val="single" w:color="CCCCCC" w:sz="1"/>
                  </w:tcBorders>
                  <w:shd w:fill="F2FFF2" w:val="clear"/>
                  <w:tcMar>
                    <w:top w:type="dxa" w:w="80"/>
                    <w:left w:type="dxa" w:w="120"/>
                    <w:bottom w:type="dxa" w:w="80"/>
                    <w:right w:type="dxa" w:w="120"/>
                  </w:tcMar>
                </w:tcPr>
                <w:p>
                  <w:r>
                    <w:rPr>
                      <w:rFonts w:ascii="Arial" w:cs="Arial" w:eastAsia="Arial" w:hAnsi="Arial"/>
                      <w:color w:val="375623"/>
                      <w:sz w:val="20"/>
                      <w:szCs w:val="20"/>
                    </w:rPr>
                    <w:t xml:space="preserve">Scales to any dataset size</w:t>
                  </w:r>
                </w:p>
              </w:tc>
            </w:tr>
          </w:tbl>
          <w:p/>
        </w:tc>
      </w:tr>
    </w:tbl>
    <w:p>
      <w:pPr>
        <w:spacing w:before="24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2E75B6" w:val="clear"/>
            <w:tcMar>
              <w:top w:type="dxa" w:w="120"/>
              <w:left w:type="dxa" w:w="180"/>
              <w:bottom w:type="dxa" w:w="120"/>
              <w:right w:type="dxa" w:w="180"/>
            </w:tcMar>
          </w:tcPr>
          <w:p>
            <w:r>
              <w:rPr>
                <w:rFonts w:ascii="Arial" w:cs="Arial" w:eastAsia="Arial" w:hAnsi="Arial"/>
                <w:b/>
                <w:bCs/>
                <w:color w:val="FFFFFF"/>
                <w:sz w:val="28"/>
                <w:szCs w:val="28"/>
              </w:rPr>
              <w:t xml:space="preserve">KEY FINDINGS FROM THE DATA</w:t>
            </w:r>
          </w:p>
        </w:tc>
      </w:tr>
      <w:tr>
        <w:tc>
          <w:tcPr>
            <w:tcW w:type="dxa" w:w="9360"/>
            <w:tcBorders>
              <w:top w:val="single" w:color="1F4E79" w:sz="1"/>
              <w:left w:val="single" w:color="1F4E79" w:sz="1"/>
              <w:bottom w:val="single" w:color="1F4E79" w:sz="1"/>
              <w:right w:val="single" w:color="1F4E79" w:sz="1"/>
            </w:tcBorders>
            <w:shd w:fill="EBF3FB" w:val="clear"/>
            <w:tcMar>
              <w:top w:type="dxa" w:w="160"/>
              <w:left w:type="dxa" w:w="200"/>
              <w:bottom w:type="dxa" w:w="160"/>
              <w:right w:type="dxa" w:w="200"/>
            </w:tcMar>
          </w:tcPr>
          <w:p>
            <w:pPr>
              <w:spacing w:before="80" w:after="120"/>
            </w:pPr>
            <w:r>
              <w:rPr>
                <w:rFonts w:ascii="Arial" w:cs="Arial" w:eastAsia="Arial" w:hAnsi="Arial"/>
                <w:b/>
                <w:bCs/>
                <w:color w:val="1F4E79"/>
                <w:sz w:val="26"/>
                <w:szCs w:val="26"/>
              </w:rPr>
              <w:t xml:space="preserve">What the 2023 CMS Medicare Data Revealed</w:t>
            </w:r>
          </w:p>
          <w:p>
            <w:pPr>
              <w:pStyle w:val="ListParagraph"/>
              <w:numPr>
                <w:ilvl w:val="0"/>
                <w:numId w:val="2"/>
              </w:numPr>
              <w:spacing w:before="60" w:after="60"/>
            </w:pPr>
            <w:r>
              <w:rPr>
                <w:rFonts w:ascii="Arial" w:cs="Arial" w:eastAsia="Arial" w:hAnsi="Arial"/>
                <w:b w:val="false"/>
                <w:bCs w:val="false"/>
                <w:sz w:val="22"/>
                <w:szCs w:val="22"/>
              </w:rPr>
              <w:t xml:space="preserve">130 providers were classified as High Risk out of 691,000+ analyzed — representing the top priority audit targets</w:t>
            </w:r>
          </w:p>
          <w:p>
            <w:pPr>
              <w:pStyle w:val="ListParagraph"/>
              <w:numPr>
                <w:ilvl w:val="0"/>
                <w:numId w:val="2"/>
              </w:numPr>
              <w:spacing w:before="60" w:after="60"/>
            </w:pPr>
            <w:r>
              <w:rPr>
                <w:rFonts w:ascii="Arial" w:cs="Arial" w:eastAsia="Arial" w:hAnsi="Arial"/>
                <w:b w:val="false"/>
                <w:bCs w:val="false"/>
                <w:sz w:val="22"/>
                <w:szCs w:val="22"/>
              </w:rPr>
              <w:t xml:space="preserve">Wyoming had the highest average fraud risk score among all 50 US states</w:t>
            </w:r>
          </w:p>
          <w:p>
            <w:pPr>
              <w:pStyle w:val="ListParagraph"/>
              <w:numPr>
                <w:ilvl w:val="0"/>
                <w:numId w:val="2"/>
              </w:numPr>
              <w:spacing w:before="60" w:after="60"/>
            </w:pPr>
            <w:r>
              <w:rPr>
                <w:rFonts w:ascii="Arial" w:cs="Arial" w:eastAsia="Arial" w:hAnsi="Arial"/>
                <w:b w:val="false"/>
                <w:bCs w:val="false"/>
                <w:sz w:val="22"/>
                <w:szCs w:val="22"/>
              </w:rPr>
              <w:t xml:space="preserve">California and Pennsylvania had the highest counts of High Risk providers</w:t>
            </w:r>
          </w:p>
          <w:p>
            <w:pPr>
              <w:pStyle w:val="ListParagraph"/>
              <w:numPr>
                <w:ilvl w:val="0"/>
                <w:numId w:val="2"/>
              </w:numPr>
              <w:spacing w:before="60" w:after="60"/>
            </w:pPr>
            <w:r>
              <w:rPr>
                <w:rFonts w:ascii="Arial" w:cs="Arial" w:eastAsia="Arial" w:hAnsi="Arial"/>
                <w:b w:val="false"/>
                <w:bCs w:val="false"/>
                <w:sz w:val="22"/>
                <w:szCs w:val="22"/>
              </w:rPr>
              <w:t xml:space="preserve">Emergency Medicine and Urology providers showed the highest average Z-scores for services per beneficiary</w:t>
            </w:r>
          </w:p>
          <w:p>
            <w:pPr>
              <w:pStyle w:val="ListParagraph"/>
              <w:numPr>
                <w:ilvl w:val="0"/>
                <w:numId w:val="2"/>
              </w:numPr>
              <w:spacing w:before="60" w:after="60"/>
            </w:pPr>
            <w:r>
              <w:rPr>
                <w:rFonts w:ascii="Arial" w:cs="Arial" w:eastAsia="Arial" w:hAnsi="Arial"/>
                <w:b w:val="false"/>
                <w:bCs w:val="false"/>
                <w:sz w:val="22"/>
                <w:szCs w:val="22"/>
              </w:rPr>
              <w:t xml:space="preserve">Micrographic Dermatologic Surgery had the highest average fraud risk score by specialty</w:t>
            </w:r>
          </w:p>
          <w:p>
            <w:pPr>
              <w:pStyle w:val="ListParagraph"/>
              <w:numPr>
                <w:ilvl w:val="0"/>
                <w:numId w:val="2"/>
              </w:numPr>
              <w:spacing w:before="60" w:after="60"/>
            </w:pPr>
            <w:r>
              <w:rPr>
                <w:rFonts w:ascii="Arial" w:cs="Arial" w:eastAsia="Arial" w:hAnsi="Arial"/>
                <w:b w:val="false"/>
                <w:bCs w:val="false"/>
                <w:sz w:val="22"/>
                <w:szCs w:val="22"/>
              </w:rPr>
              <w:t xml:space="preserve">The top flagged provider (Collins, Family Practice, TN) had a services-per-beneficiary Z-score of 7.97 and a drug cost Z-score of 11.01 — both extreme outliers</w:t>
            </w:r>
          </w:p>
          <w:p>
            <w:pPr>
              <w:pStyle w:val="ListParagraph"/>
              <w:numPr>
                <w:ilvl w:val="0"/>
                <w:numId w:val="2"/>
              </w:numPr>
              <w:spacing w:before="60" w:after="60"/>
            </w:pPr>
            <w:r>
              <w:rPr>
                <w:rFonts w:ascii="Arial" w:cs="Arial" w:eastAsia="Arial" w:hAnsi="Arial"/>
                <w:b w:val="false"/>
                <w:bCs w:val="false"/>
                <w:sz w:val="22"/>
                <w:szCs w:val="22"/>
              </w:rPr>
              <w:t xml:space="preserve">Stellmacher (Emergency Medicine, AZ) had a drug cost per beneficiary Z-score of 25.66 — the highest single metric Z-score in the entire dataset</w:t>
            </w:r>
          </w:p>
          <w:p>
            <w:pPr>
              <w:pStyle w:val="ListParagraph"/>
              <w:numPr>
                <w:ilvl w:val="0"/>
                <w:numId w:val="2"/>
              </w:numPr>
              <w:spacing w:before="60" w:after="60"/>
            </w:pPr>
            <w:r>
              <w:rPr>
                <w:rFonts w:ascii="Arial" w:cs="Arial" w:eastAsia="Arial" w:hAnsi="Arial"/>
                <w:b w:val="false"/>
                <w:bCs w:val="false"/>
                <w:sz w:val="22"/>
                <w:szCs w:val="22"/>
              </w:rPr>
              <w:t xml:space="preserve">538 providers triggered 3 or more simultaneous fraud flags indicating multi-dimensional anomalous billing</w:t>
            </w:r>
          </w:p>
          <w:p>
            <w:pPr>
              <w:spacing w:before="80" w:after="80"/>
            </w:pPr>
            <w:r>
              <w:t xml:space="preserve"/>
            </w:r>
          </w:p>
          <w:p>
            <w:pPr>
              <w:spacing w:before="80" w:after="80"/>
            </w:pPr>
            <w:r>
              <w:rPr>
                <w:rFonts w:ascii="Arial" w:cs="Arial" w:eastAsia="Arial" w:hAnsi="Arial"/>
                <w:b/>
                <w:bCs/>
                <w:color w:val="C00000"/>
                <w:sz w:val="22"/>
                <w:szCs w:val="22"/>
              </w:rPr>
              <w:t xml:space="preserve">Important Disclaimer:</w:t>
            </w:r>
          </w:p>
          <w:p>
            <w:pPr>
              <w:spacing w:before="80" w:after="80"/>
            </w:pPr>
            <w:r>
              <w:rPr>
                <w:rFonts w:ascii="Arial" w:cs="Arial" w:eastAsia="Arial" w:hAnsi="Arial"/>
                <w:i/>
                <w:iCs/>
                <w:color w:val="595959"/>
                <w:sz w:val="22"/>
                <w:szCs w:val="22"/>
              </w:rPr>
              <w:t xml:space="preserve">These findings identify statistical outliers only. A high risk score indicates that a provider bills differently from their peers — it does not constitute evidence of fraud or wrongdoing. All flagged providers would require a formal investigation before any conclusions could be drawn.</w:t>
            </w:r>
          </w:p>
        </w:tc>
      </w:tr>
    </w:tbl>
    <w:p>
      <w:pPr>
        <w:spacing w:before="24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404040" w:val="clear"/>
            <w:tcMar>
              <w:top w:type="dxa" w:w="120"/>
              <w:left w:type="dxa" w:w="180"/>
              <w:bottom w:type="dxa" w:w="120"/>
              <w:right w:type="dxa" w:w="180"/>
            </w:tcMar>
          </w:tcPr>
          <w:p>
            <w:r>
              <w:rPr>
                <w:rFonts w:ascii="Arial" w:cs="Arial" w:eastAsia="Arial" w:hAnsi="Arial"/>
                <w:b/>
                <w:bCs/>
                <w:color w:val="FFFFFF"/>
                <w:sz w:val="28"/>
                <w:szCs w:val="28"/>
              </w:rPr>
              <w:t xml:space="preserve">TECHNOLOGY STACK</w:t>
            </w:r>
          </w:p>
        </w:tc>
      </w:tr>
      <w:tr>
        <w:tc>
          <w:tcPr>
            <w:tcW w:type="dxa" w:w="9360"/>
            <w:tcBorders>
              <w:top w:val="single" w:color="1F4E79" w:sz="1"/>
              <w:left w:val="single" w:color="1F4E79" w:sz="1"/>
              <w:bottom w:val="single" w:color="1F4E79" w:sz="1"/>
              <w:right w:val="single" w:color="1F4E79" w:sz="1"/>
            </w:tcBorders>
            <w:shd w:fill="F5F5F5" w:val="clear"/>
            <w:tcMar>
              <w:top w:type="dxa" w:w="160"/>
              <w:left w:type="dxa" w:w="200"/>
              <w:bottom w:type="dxa" w:w="160"/>
              <w:right w:type="dxa" w:w="200"/>
            </w:tcMar>
          </w:tcPr>
          <w:p>
            <w:pPr>
              <w:spacing w:before="80" w:after="120"/>
            </w:pPr>
            <w:r>
              <w:rPr>
                <w:rFonts w:ascii="Arial" w:cs="Arial" w:eastAsia="Arial" w:hAnsi="Arial"/>
                <w:b/>
                <w:bCs/>
                <w:color w:val="1F4E79"/>
                <w:sz w:val="26"/>
                <w:szCs w:val="26"/>
              </w:rPr>
              <w:t xml:space="preserve">Tools &amp; Technologies Used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9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Database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MySQL 8.0</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Data storage, cleaning, aggregation, Z-score calculation, and view creation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Query Tool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MySQL Workbench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SQL query execution and database management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Data Source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CMS Medicare Open Data</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Part B (5.6M rows) and Part D (8M+ rows) provider-level claims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Visualization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Microsoft Power BI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Interactive dashboard with 5 pages, slicers, maps, and drill-down capability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Statistical Method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Z-Score Analysis</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Peer group outlier detection using population standard deviation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Scripting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SQL Views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6 layered SQL views for aggregation, benchmarking, Z-scores, and risk scoring</w:t>
                  </w:r>
                </w:p>
              </w:tc>
            </w:tr>
          </w:tbl>
          <w:p/>
        </w:tc>
      </w:tr>
    </w:tbl>
    <w:p>
      <w:pPr>
        <w:spacing w:before="24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60"/>
              <w:left w:type="dxa" w:w="360"/>
              <w:bottom w:type="dxa" w:w="160"/>
              <w:right w:type="dxa" w:w="360"/>
            </w:tcMar>
          </w:tcPr>
          <w:p>
            <w:pPr>
              <w:jc w:val="center"/>
            </w:pPr>
            <w:r>
              <w:rPr>
                <w:rFonts w:ascii="Arial" w:cs="Arial" w:eastAsia="Arial" w:hAnsi="Arial"/>
                <w:color w:val="9DC3E6"/>
                <w:sz w:val="18"/>
                <w:szCs w:val="18"/>
              </w:rPr>
              <w:t xml:space="preserve">This project was built using publicly available CMS Medicare Open Data.</w:t>
            </w:r>
          </w:p>
          <w:p>
            <w:pPr>
              <w:spacing w:before="60"/>
              <w:jc w:val="center"/>
            </w:pPr>
            <w:r>
              <w:rPr>
                <w:rFonts w:ascii="Arial" w:cs="Arial" w:eastAsia="Arial" w:hAnsi="Arial"/>
                <w:i/>
                <w:iCs/>
                <w:color w:val="9DC3E6"/>
                <w:sz w:val="18"/>
                <w:szCs w:val="18"/>
              </w:rPr>
              <w:t xml:space="preserve">All findings are statistical in nature and do not constitute allegations of fraud or wrongdoing against any provider.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2026-03-08T19:40:00.165Z</dcterms:created>
  <dcterms:modified xsi:type="dcterms:W3CDTF">2026-03-08T19:40:00.166Z</dcterms:modified>
</cp:coreProperties>
</file>

<file path=docProps/custom.xml><?xml version="1.0" encoding="utf-8"?>
<Properties xmlns="http://schemas.openxmlformats.org/officeDocument/2006/custom-properties" xmlns:vt="http://schemas.openxmlformats.org/officeDocument/2006/docPropsVTypes"/>
</file>