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7804E"/>
          <w:spacing w:val="20"/>
          <w:sz w:val="16"/>
          <w:szCs w:val="16"/>
        </w:rPr>
        <w:t xml:space="preserve">SUPPLYHOUSE · UX RESEARCH</w:t>
      </w:r>
    </w:p>
    <w:p>
      <w:pPr>
        <w:spacing w:after="40"/>
      </w:pPr>
      <w:r>
        <w:rPr>
          <w:rFonts w:ascii="Arial" w:cs="Arial" w:eastAsia="Arial" w:hAnsi="Arial"/>
          <w:b/>
          <w:bCs/>
          <w:color w:val="331811"/>
          <w:sz w:val="38"/>
          <w:szCs w:val="38"/>
        </w:rPr>
        <w:t xml:space="preserve">Navigation taxonomy: tree-testing brief</w:t>
      </w:r>
    </w:p>
    <w:p>
      <w:pPr>
        <w:spacing w:after="200"/>
      </w:pPr>
      <w:r>
        <w:rPr>
          <w:rFonts w:ascii="Arial" w:cs="Arial" w:eastAsia="Arial" w:hAnsi="Arial"/>
          <w:color w:val="757575"/>
          <w:sz w:val="24"/>
          <w:szCs w:val="24"/>
        </w:rPr>
        <w:t xml:space="preserve">Findability test of the mega-menu structure · remote, unmoderated</w:t>
      </w:r>
    </w:p>
    <w:p>
      <w:pPr>
        <w:spacing w:after="160"/>
      </w:pPr>
      <w:r>
        <w:rPr>
          <w:rFonts w:ascii="Arial" w:cs="Arial" w:eastAsia="Arial" w:hAnsi="Arial"/>
          <w:b/>
          <w:bCs/>
          <w:color w:val="343434"/>
          <w:sz w:val="21"/>
          <w:szCs w:val="21"/>
        </w:rPr>
        <w:t xml:space="preserve">Round: </w:t>
      </w:r>
      <w:r>
        <w:rPr>
          <w:rFonts w:ascii="Arial" w:cs="Arial" w:eastAsia="Arial" w:hAnsi="Arial"/>
          <w:color w:val="757575"/>
          <w:sz w:val="21"/>
          <w:szCs w:val="21"/>
        </w:rPr>
        <w:t xml:space="preserve">____________________</w:t>
      </w:r>
      <w:r>
        <w:rPr>
          <w:rFonts w:ascii="Arial" w:cs="Arial" w:eastAsia="Arial" w:hAnsi="Arial"/>
          <w:b/>
          <w:bCs/>
          <w:color w:val="343434"/>
          <w:sz w:val="21"/>
          <w:szCs w:val="21"/>
        </w:rPr>
        <w:t xml:space="preserve">          Field dates: </w:t>
      </w:r>
      <w:r>
        <w:rPr>
          <w:rFonts w:ascii="Arial" w:cs="Arial" w:eastAsia="Arial" w:hAnsi="Arial"/>
          <w:color w:val="757575"/>
          <w:sz w:val="21"/>
          <w:szCs w:val="21"/>
        </w:rPr>
        <w:t xml:space="preserve">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804E" w:sz="24"/>
              <w:bottom w:val="none" w:color="FFFFFF" w:sz="0"/>
              <w:right w:val="none" w:color="FFFFFF" w:sz="0"/>
            </w:tcBorders>
            <w:shd w:fill="F8F5F3" w:color="auto" w:val="clear"/>
            <w:tcMar>
              <w:top w:type="dxa" w:w="120"/>
              <w:left w:type="dxa" w:w="160"/>
              <w:bottom w:type="dxa" w:w="120"/>
              <w:right w:type="dxa" w:w="160"/>
            </w:tcMar>
          </w:tcPr>
          <w:p>
            <w:pPr>
              <w:spacing w:after="60"/>
            </w:pPr>
            <w:r>
              <w:rPr>
                <w:rFonts w:ascii="Arial" w:cs="Arial" w:eastAsia="Arial" w:hAnsi="Arial"/>
                <w:b/>
                <w:bCs/>
                <w:color w:val="331811"/>
                <w:sz w:val="21"/>
                <w:szCs w:val="21"/>
              </w:rPr>
              <w:t xml:space="preserve">How to use this brief</w:t>
            </w:r>
          </w:p>
          <w:p>
            <w:pPr>
              <w:spacing w:after="40" w:line="264"/>
            </w:pPr>
            <w:r>
              <w:rPr>
                <w:rFonts w:ascii="Arial" w:cs="Arial" w:eastAsia="Arial" w:hAnsi="Arial"/>
                <w:color w:val="343434"/>
                <w:sz w:val="20"/>
                <w:szCs w:val="20"/>
              </w:rPr>
              <w:t xml:space="preserve">This brief plus the three category trees and the task set are everything needed to run this study. It is unmoderated, so no facilitator is needed during sessions; the work is in the setup and the read-out.</w:t>
            </w:r>
          </w:p>
          <w:p>
            <w:pPr>
              <w:spacing w:after="40" w:line="264"/>
            </w:pPr>
            <w:r>
              <w:rPr>
                <w:rFonts w:ascii="Arial" w:cs="Arial" w:eastAsia="Arial" w:hAnsi="Arial"/>
                <w:i/>
                <w:iCs/>
                <w:color w:val="343434"/>
                <w:sz w:val="20"/>
                <w:szCs w:val="20"/>
              </w:rPr>
              <w:t xml:space="preserve">Anything in brackets [ ] is a fill-in only the lead/researcher can confirm (tool, recruit source, dates, thresholds); sort those before fielding.</w:t>
            </w:r>
          </w:p>
        </w:tc>
      </w:tr>
    </w:tbl>
    <w:p>
      <w:pPr>
        <w:pBdr>
          <w:bottom w:val="single" w:color="B7804E" w:sz="12" w:space="4"/>
        </w:pBdr>
        <w:spacing w:after="140" w:before="300"/>
      </w:pPr>
      <w:r>
        <w:rPr>
          <w:rFonts w:ascii="Arial" w:cs="Arial" w:eastAsia="Arial" w:hAnsi="Arial"/>
          <w:b/>
          <w:bCs/>
          <w:color w:val="331811"/>
          <w:sz w:val="27"/>
          <w:szCs w:val="27"/>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Primary goal</w:t>
            </w:r>
          </w:p>
        </w:tc>
        <w:tc>
          <w:tcPr>
            <w:tcW w:type="dxa" w:w="6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Decide whether the proposed taxonomy helps people find products better than today’s structure, and whether grouping (Level 2) earns its catalog cost over a simpler reorder (Level 1).</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Method</w:t>
            </w:r>
          </w:p>
        </w:tc>
        <w:tc>
          <w:tcPr>
            <w:tcW w:type="dxa" w:w="6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Unmoderated, remote tree test on the bare category hierarchy (text only, no visual design). Between-subjects across three tree variants.</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Session length</w:t>
            </w:r>
          </w:p>
        </w:tc>
        <w:tc>
          <w:tcPr>
            <w:tcW w:type="dxa" w:w="6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~10–15 minutes per participant, on their own time.</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Participants</w:t>
            </w:r>
          </w:p>
        </w:tc>
        <w:tc>
          <w:tcPr>
            <w:tcW w:type="dxa" w:w="6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Trade pros + homeowners, segmented; ~30–50 per tree variant.</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What they use</w:t>
            </w:r>
          </w:p>
        </w:tc>
        <w:tc>
          <w:tcPr>
            <w:tcW w:type="dxa" w:w="6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Three text-only category trees: current / Level 1 / Level 2. [tool links]</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Run-of-show</w:t>
            </w:r>
          </w:p>
        </w:tc>
        <w:tc>
          <w:tcPr>
            <w:tcW w:type="dxa" w:w="6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Same neutral task set on each tree; for each task the participant drills down and picks where they’d expect to find the item.</w:t>
            </w:r>
          </w:p>
        </w:tc>
      </w:tr>
      <w:tr>
        <w:tc>
          <w:tcPr>
            <w:tcW w:type="dxa" w:w="2600"/>
            <w:tcBorders>
              <w:top w:val="single" w:color="DCDCDC" w:sz="1"/>
              <w:left w:val="single" w:color="DCDCDC" w:sz="1"/>
              <w:bottom w:val="single" w:color="DCDCDC" w:sz="1"/>
              <w:right w:val="single" w:color="DCDCDC" w:sz="1"/>
            </w:tcBorders>
            <w:shd w:fill="F8F5F3"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Tool</w:t>
            </w:r>
          </w:p>
        </w:tc>
        <w:tc>
          <w:tcPr>
            <w:tcW w:type="dxa" w:w="6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[Treejack / Optimal Workshop or Lyssna]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804E" w:sz="24"/>
              <w:bottom w:val="none" w:color="FFFFFF" w:sz="0"/>
              <w:right w:val="none" w:color="FFFFFF" w:sz="0"/>
            </w:tcBorders>
            <w:shd w:fill="F8F5F3" w:color="auto" w:val="clear"/>
            <w:tcMar>
              <w:top w:type="dxa" w:w="120"/>
              <w:left w:type="dxa" w:w="160"/>
              <w:bottom w:type="dxa" w:w="120"/>
              <w:right w:type="dxa" w:w="160"/>
            </w:tcMar>
          </w:tcPr>
          <w:p>
            <w:pPr>
              <w:spacing w:after="60"/>
            </w:pPr>
            <w:r>
              <w:rPr>
                <w:rFonts w:ascii="Arial" w:cs="Arial" w:eastAsia="Arial" w:hAnsi="Arial"/>
                <w:b/>
                <w:bCs/>
                <w:color w:val="331811"/>
                <w:sz w:val="21"/>
                <w:szCs w:val="21"/>
              </w:rPr>
              <w:t xml:space="preserve">New to tree testing? The short version</w:t>
            </w:r>
          </w:p>
          <w:p>
            <w:pPr>
              <w:spacing w:after="40" w:line="264"/>
            </w:pPr>
            <w:r>
              <w:rPr>
                <w:rFonts w:ascii="Arial" w:cs="Arial" w:eastAsia="Arial" w:hAnsi="Arial"/>
                <w:color w:val="343434"/>
                <w:sz w:val="20"/>
                <w:szCs w:val="20"/>
              </w:rPr>
              <w:t xml:space="preserve">What it is: a findability test on the bare category structure, text only, no interface. A participant gets a task and clicks down through the hierarchy to where they would expect the item to live. Think of it as the reverse of a card sort: instead of asking people to group items, you check whether your groupings let them find things.</w:t>
            </w:r>
          </w:p>
          <w:p>
            <w:pPr>
              <w:spacing w:after="40" w:line="264"/>
            </w:pPr>
            <w:r>
              <w:rPr>
                <w:rFonts w:ascii="Arial" w:cs="Arial" w:eastAsia="Arial" w:hAnsi="Arial"/>
                <w:color w:val="343434"/>
                <w:sz w:val="20"/>
                <w:szCs w:val="20"/>
              </w:rPr>
              <w:t xml:space="preserve">Why it fits a catalog decision: it isolates whether the taxonomy itself works, independent of any visual design, which is exactly the question a catalog reorganization turns on, and the one our analytics can’t answer (the menu was never tracked).</w:t>
            </w:r>
          </w:p>
          <w:p>
            <w:pPr>
              <w:spacing w:after="40" w:line="264"/>
            </w:pPr>
            <w:r>
              <w:rPr>
                <w:rFonts w:ascii="Arial" w:cs="Arial" w:eastAsia="Arial" w:hAnsi="Arial"/>
                <w:b/>
                <w:bCs/>
                <w:color w:val="343434"/>
                <w:sz w:val="20"/>
                <w:szCs w:val="20"/>
              </w:rPr>
              <w:t xml:space="preserve">How it sits next to what the team already does: </w:t>
            </w:r>
            <w:r>
              <w:rPr>
                <w:rFonts w:ascii="Arial" w:cs="Arial" w:eastAsia="Arial" w:hAnsi="Arial"/>
                <w:color w:val="343434"/>
                <w:sz w:val="20"/>
                <w:szCs w:val="20"/>
              </w:rPr>
              <w:t xml:space="preserve">usability testing shows how people use a built interface; A/B testing tells you which of two live designs wins, but needs traffic and a shipped page. Tree testing comes earlier and cheaper: it de-risks the structure before anything is built. The sequence is tree test (is the structure right?) → usability (does the interface work?) → A/B post-launch (does it move the numbers?).</w:t>
            </w:r>
          </w:p>
          <w:p>
            <w:pPr>
              <w:spacing w:after="40" w:line="264"/>
            </w:pPr>
            <w:r>
              <w:rPr>
                <w:rFonts w:ascii="Arial" w:cs="Arial" w:eastAsia="Arial" w:hAnsi="Arial"/>
                <w:color w:val="343434"/>
                <w:sz w:val="20"/>
                <w:szCs w:val="20"/>
              </w:rPr>
              <w:t xml:space="preserve">How to read it: success rate (did they reach the right place?), directness (did they go straight there, without backtracking?), time, and first click. The stronger structure shows higher success and more directness than today’s tree.</w:t>
            </w:r>
          </w:p>
          <w:p>
            <w:pPr>
              <w:spacing w:after="40" w:line="264"/>
            </w:pPr>
            <w:r>
              <w:rPr>
                <w:rFonts w:ascii="Arial" w:cs="Arial" w:eastAsia="Arial" w:hAnsi="Arial"/>
                <w:color w:val="343434"/>
                <w:sz w:val="20"/>
                <w:szCs w:val="20"/>
              </w:rPr>
              <w:t xml:space="preserve">Setup is ready to go: the three trees, the task answer key, and the screener are in the companion spreadsheet, Tree-Test-Setup.xlsx.</w:t>
            </w:r>
          </w:p>
        </w:tc>
      </w:tr>
    </w:tbl>
    <w:p>
      <w:pPr>
        <w:pBdr>
          <w:bottom w:val="single" w:color="B7804E" w:sz="12" w:space="4"/>
        </w:pBdr>
        <w:spacing w:after="140" w:before="300"/>
      </w:pPr>
      <w:r>
        <w:rPr>
          <w:rFonts w:ascii="Arial" w:cs="Arial" w:eastAsia="Arial" w:hAnsi="Arial"/>
          <w:b/>
          <w:bCs/>
          <w:color w:val="331811"/>
          <w:sz w:val="27"/>
          <w:szCs w:val="27"/>
        </w:rPr>
        <w:t xml:space="preserve">1. Why we’re running this round</w:t>
      </w:r>
    </w:p>
    <w:p>
      <w:pPr>
        <w:spacing w:after="120" w:before="0" w:line="276"/>
      </w:pPr>
      <w:r>
        <w:rPr>
          <w:rFonts w:ascii="Arial" w:cs="Arial" w:eastAsia="Arial" w:hAnsi="Arial"/>
          <w:b w:val="false"/>
          <w:bCs w:val="false"/>
          <w:i w:val="false"/>
          <w:iCs w:val="false"/>
          <w:color w:val="343434"/>
          <w:sz w:val="21"/>
          <w:szCs w:val="21"/>
        </w:rPr>
        <w:t xml:space="preserve">The current mega menu was never instrumented, so we can’t compare a redesign against historical click data; there is no “before” in analytics. Tree testing solves that: it strips away all visual design and measures one thing: can people find the right category? By testing today’s structure alongside the proposed ones, we generate our own baseline inside the study.</w:t>
      </w:r>
    </w:p>
    <w:p>
      <w:pPr>
        <w:spacing w:after="120" w:before="0" w:line="276"/>
      </w:pPr>
      <w:r>
        <w:rPr>
          <w:rFonts w:ascii="Arial" w:cs="Arial" w:eastAsia="Arial" w:hAnsi="Arial"/>
          <w:b w:val="false"/>
          <w:bCs w:val="false"/>
          <w:i w:val="false"/>
          <w:iCs w:val="false"/>
          <w:color w:val="343434"/>
          <w:sz w:val="21"/>
          <w:szCs w:val="21"/>
        </w:rPr>
        <w:t xml:space="preserve">The taxonomy is also the most expensive and least reversible decision in the project; it drives the catalog team’s content work. Getting it right before build is worth more than any other single check, which is why this study leads the validation plan.</w:t>
      </w:r>
    </w:p>
    <w:p>
      <w:pPr>
        <w:spacing w:after="120" w:before="0" w:line="276"/>
      </w:pPr>
      <w:r>
        <w:rPr>
          <w:rFonts w:ascii="Arial" w:cs="Arial" w:eastAsia="Arial" w:hAnsi="Arial"/>
          <w:b/>
          <w:bCs/>
          <w:i w:val="false"/>
          <w:iCs w:val="false"/>
          <w:color w:val="343434"/>
          <w:sz w:val="21"/>
          <w:szCs w:val="21"/>
        </w:rPr>
        <w:t xml:space="preserve">The decision this round informs: </w:t>
      </w:r>
      <w:r>
        <w:rPr>
          <w:rFonts w:ascii="Arial" w:cs="Arial" w:eastAsia="Arial" w:hAnsi="Arial"/>
          <w:b w:val="false"/>
          <w:bCs w:val="false"/>
          <w:i w:val="false"/>
          <w:iCs w:val="false"/>
          <w:color w:val="343434"/>
          <w:sz w:val="21"/>
          <w:szCs w:val="21"/>
        </w:rPr>
        <w:t xml:space="preserve">which taxonomy do we carry into the prototype and the catalog roadmap: current, Level 1, or Level 2?</w:t>
      </w:r>
    </w:p>
    <w:p>
      <w:pPr>
        <w:pBdr>
          <w:bottom w:val="single" w:color="B7804E" w:sz="12" w:space="4"/>
        </w:pBdr>
        <w:spacing w:after="140" w:before="300"/>
      </w:pPr>
      <w:r>
        <w:rPr>
          <w:rFonts w:ascii="Arial" w:cs="Arial" w:eastAsia="Arial" w:hAnsi="Arial"/>
          <w:b/>
          <w:bCs/>
          <w:color w:val="331811"/>
          <w:sz w:val="27"/>
          <w:szCs w:val="27"/>
        </w:rPr>
        <w:t xml:space="preserve">2. What we want to learn</w:t>
      </w:r>
    </w:p>
    <w:p>
      <w:pPr>
        <w:spacing w:after="80" w:before="140"/>
      </w:pPr>
      <w:r>
        <w:rPr>
          <w:rFonts w:ascii="Arial" w:cs="Arial" w:eastAsia="Arial" w:hAnsi="Arial"/>
          <w:b/>
          <w:bCs/>
          <w:color w:val="603423"/>
          <w:sz w:val="22"/>
          <w:szCs w:val="22"/>
        </w:rPr>
        <w:t xml:space="preserve">Primary objective</w:t>
      </w:r>
    </w:p>
    <w:p>
      <w:pPr>
        <w:spacing w:after="120" w:before="0" w:line="276"/>
      </w:pPr>
      <w:r>
        <w:rPr>
          <w:rFonts w:ascii="Arial" w:cs="Arial" w:eastAsia="Arial" w:hAnsi="Arial"/>
          <w:b w:val="false"/>
          <w:bCs w:val="false"/>
          <w:i w:val="false"/>
          <w:iCs w:val="false"/>
          <w:color w:val="343434"/>
          <w:sz w:val="21"/>
          <w:szCs w:val="21"/>
        </w:rPr>
        <w:t xml:space="preserve">Does the proposed taxonomy improve findability over today’s structure, and does the Level 2 grouped version perform enough better than Level 1 to justify its larger catalog content investment?</w:t>
      </w:r>
    </w:p>
    <w:p>
      <w:pPr>
        <w:spacing w:after="80" w:before="140"/>
      </w:pPr>
      <w:r>
        <w:rPr>
          <w:rFonts w:ascii="Arial" w:cs="Arial" w:eastAsia="Arial" w:hAnsi="Arial"/>
          <w:b/>
          <w:bCs/>
          <w:color w:val="603423"/>
          <w:sz w:val="22"/>
          <w:szCs w:val="22"/>
        </w:rPr>
        <w:t xml:space="preserve">Secondary questions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Which departments or items are hardest to locate, and where do people go instead (wrong destinations)?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Does grouping help most where menus are large (Fittings, HVAC), or does it slow people down in small ones (Valves, PEX)?</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Do the HVAC vocabulary additions (e.g., condensate neutralizer, recovery machine) get found now that they have a home?</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Do the relabels (e.g., “Chemicals” → “PVC Cement &amp; Primer”, “Pumps” → “Circulators &amp; Pumps”) reduce wrong turns?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Do trade pros and homeowners diverge; does one structure serve one segment better?</w:t>
      </w:r>
    </w:p>
    <w:p>
      <w:pPr>
        <w:spacing w:after="80" w:before="140"/>
      </w:pPr>
      <w:r>
        <w:rPr>
          <w:rFonts w:ascii="Arial" w:cs="Arial" w:eastAsia="Arial" w:hAnsi="Arial"/>
          <w:b/>
          <w:bCs/>
          <w:color w:val="603423"/>
          <w:sz w:val="22"/>
          <w:szCs w:val="22"/>
        </w:rPr>
        <w:t xml:space="preserve">Out of scope this round</w:t>
      </w:r>
    </w:p>
    <w:p>
      <w:pPr>
        <w:spacing w:after="120" w:before="0" w:line="276"/>
      </w:pPr>
      <w:r>
        <w:rPr>
          <w:rFonts w:ascii="Arial" w:cs="Arial" w:eastAsia="Arial" w:hAnsi="Arial"/>
          <w:b w:val="false"/>
          <w:bCs w:val="false"/>
          <w:i w:val="false"/>
          <w:iCs w:val="false"/>
          <w:color w:val="343434"/>
          <w:sz w:val="21"/>
          <w:szCs w:val="21"/>
        </w:rPr>
        <w:t xml:space="preserve">Visual design, panel interaction, labels’ final copy, and anything that requires seeing the rendered menu; that’s the moderated usability study. This round is structure only.</w:t>
      </w:r>
    </w:p>
    <w:p>
      <w:pPr>
        <w:pBdr>
          <w:bottom w:val="single" w:color="B7804E" w:sz="12" w:space="4"/>
        </w:pBdr>
        <w:spacing w:after="140" w:before="300"/>
      </w:pPr>
      <w:r>
        <w:rPr>
          <w:rFonts w:ascii="Arial" w:cs="Arial" w:eastAsia="Arial" w:hAnsi="Arial"/>
          <w:b/>
          <w:bCs/>
          <w:color w:val="331811"/>
          <w:sz w:val="27"/>
          <w:szCs w:val="27"/>
        </w:rPr>
        <w:t xml:space="preserve">3. Background the researcher should have</w:t>
      </w:r>
    </w:p>
    <w:p>
      <w:pPr>
        <w:spacing w:after="120" w:before="0" w:line="276"/>
      </w:pPr>
      <w:r>
        <w:rPr>
          <w:rFonts w:ascii="Arial" w:cs="Arial" w:eastAsia="Arial" w:hAnsi="Arial"/>
          <w:b w:val="false"/>
          <w:bCs w:val="false"/>
          <w:i w:val="false"/>
          <w:iCs w:val="false"/>
          <w:color w:val="343434"/>
          <w:sz w:val="21"/>
          <w:szCs w:val="21"/>
        </w:rPr>
        <w:t xml:space="preserve">Three research inputs shaped the proposed structure; a little context helps when reading where people get lost:</w:t>
      </w:r>
    </w:p>
    <w:p>
      <w:pPr>
        <w:pStyle w:val="ListParagraph"/>
        <w:numPr>
          <w:ilvl w:val="0"/>
          <w:numId w:val="2"/>
        </w:numPr>
        <w:spacing w:after="70" w:line="276"/>
      </w:pPr>
      <w:r>
        <w:rPr>
          <w:rFonts w:ascii="Arial" w:cs="Arial" w:eastAsia="Arial" w:hAnsi="Arial"/>
          <w:b/>
          <w:bCs/>
          <w:color w:val="343434"/>
          <w:sz w:val="21"/>
          <w:szCs w:val="21"/>
        </w:rPr>
        <w:t xml:space="preserve">Amplitude usage (90-day window): </w:t>
      </w:r>
      <w:r>
        <w:rPr>
          <w:rFonts w:ascii="Arial" w:cs="Arial" w:eastAsia="Arial" w:hAnsi="Arial"/>
          <w:b w:val="false"/>
          <w:bCs w:val="false"/>
          <w:i w:val="false"/>
          <w:iCs w:val="false"/>
          <w:color w:val="343434"/>
          <w:sz w:val="21"/>
          <w:szCs w:val="21"/>
        </w:rPr>
        <w:t xml:space="preserve">search drives 58% of product-list views vs. 42% category browsing; the nav competes with search, and a clearer structure should win some of that back.</w:t>
      </w:r>
    </w:p>
    <w:p>
      <w:pPr>
        <w:pStyle w:val="ListParagraph"/>
        <w:numPr>
          <w:ilvl w:val="0"/>
          <w:numId w:val="2"/>
        </w:numPr>
        <w:spacing w:after="70" w:line="276"/>
      </w:pPr>
      <w:r>
        <w:rPr>
          <w:rFonts w:ascii="Arial" w:cs="Arial" w:eastAsia="Arial" w:hAnsi="Arial"/>
          <w:b/>
          <w:bCs/>
          <w:color w:val="343434"/>
          <w:sz w:val="21"/>
          <w:szCs w:val="21"/>
        </w:rPr>
        <w:t xml:space="preserve">Baymard audit: </w:t>
      </w:r>
      <w:r>
        <w:rPr>
          <w:rFonts w:ascii="Arial" w:cs="Arial" w:eastAsia="Arial" w:hAnsi="Arial"/>
          <w:b w:val="false"/>
          <w:bCs w:val="false"/>
          <w:i w:val="false"/>
          <w:iCs w:val="false"/>
          <w:color w:val="343434"/>
          <w:sz w:val="21"/>
          <w:szCs w:val="21"/>
        </w:rPr>
        <w:t xml:space="preserve">confirmed structural usability gaps: oversized, inconsistent menus and scope confusion.</w:t>
      </w:r>
    </w:p>
    <w:p>
      <w:pPr>
        <w:pStyle w:val="ListParagraph"/>
        <w:numPr>
          <w:ilvl w:val="0"/>
          <w:numId w:val="2"/>
        </w:numPr>
        <w:spacing w:after="70" w:line="276"/>
      </w:pPr>
      <w:r>
        <w:rPr>
          <w:rFonts w:ascii="Arial" w:cs="Arial" w:eastAsia="Arial" w:hAnsi="Arial"/>
          <w:b/>
          <w:bCs/>
          <w:color w:val="343434"/>
          <w:sz w:val="21"/>
          <w:szCs w:val="21"/>
        </w:rPr>
        <w:t xml:space="preserve">Current-state audit: </w:t>
      </w:r>
      <w:r>
        <w:rPr>
          <w:rFonts w:ascii="Arial" w:cs="Arial" w:eastAsia="Arial" w:hAnsi="Arial"/>
          <w:b w:val="false"/>
          <w:bCs w:val="false"/>
          <w:i w:val="false"/>
          <w:iCs w:val="false"/>
          <w:color w:val="343434"/>
          <w:sz w:val="21"/>
          <w:szCs w:val="21"/>
        </w:rPr>
        <w:t xml:space="preserve">grouped-vs-flat inconsistency, an item swing from ~13 (Valves) to ~42+ (Fittings), and duplicate items across menus.</w:t>
      </w:r>
    </w:p>
    <w:p>
      <w:pPr>
        <w:spacing w:after="80" w:before="140"/>
      </w:pPr>
      <w:r>
        <w:rPr>
          <w:rFonts w:ascii="Arial" w:cs="Arial" w:eastAsia="Arial" w:hAnsi="Arial"/>
          <w:b/>
          <w:bCs/>
          <w:color w:val="603423"/>
          <w:sz w:val="22"/>
          <w:szCs w:val="22"/>
        </w:rPr>
        <w:t xml:space="preserve">What the tasks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Structural problem</w:t>
            </w:r>
          </w:p>
        </w:tc>
        <w:tc>
          <w:tcPr>
            <w:tcW w:type="dxa" w:w="312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What we test</w:t>
            </w:r>
          </w:p>
        </w:tc>
        <w:tc>
          <w:tcPr>
            <w:tcW w:type="dxa" w:w="312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What we watch for</w:t>
            </w:r>
          </w:p>
        </w:tc>
      </w:tr>
      <w:tr>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Oversized menus</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Finding an item inside a large grouped menu (Fittings, HVAC)</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Backtracking, wrong group, giving up</w:t>
            </w:r>
          </w:p>
        </w:tc>
      </w:tr>
      <w:tr>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HVAC vocabulary gap</w:t>
            </w:r>
          </w:p>
        </w:tc>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Locating technician-language items (condensate neutralizer, recovery machine)</w:t>
            </w:r>
          </w:p>
        </w:tc>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Whether the new homes are found at all</w:t>
            </w:r>
          </w:p>
        </w:tc>
      </w:tr>
      <w:tr>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Relabels</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Items renamed for search alignment (PVC Cement &amp; Primer; Circulators &amp; Pumps)</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Wrong turns to the old/ambiguous label</w:t>
            </w:r>
          </w:p>
        </w:tc>
      </w:tr>
      <w:tr>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Duplicates</w:t>
            </w:r>
          </w:p>
        </w:tc>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Items that lived in multiple menus (Thermostats, Valves, Fittings)</w:t>
            </w:r>
          </w:p>
        </w:tc>
        <w:tc>
          <w:tcPr>
            <w:tcW w:type="dxa" w:w="312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Which canonical home people expect</w:t>
            </w:r>
          </w:p>
        </w:tc>
      </w:tr>
      <w:tr>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Small menus</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Finding a common item in a short list (ball valve, PEX tubing)</w:t>
            </w:r>
          </w:p>
        </w:tc>
        <w:tc>
          <w:tcPr>
            <w:tcW w:type="dxa" w:w="312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Whether grouping helps or just adds steps</w:t>
            </w:r>
          </w:p>
        </w:tc>
      </w:tr>
    </w:tbl>
    <w:p>
      <w:pPr>
        <w:pBdr>
          <w:bottom w:val="single" w:color="B7804E" w:sz="12" w:space="4"/>
        </w:pBdr>
        <w:spacing w:after="140" w:before="300"/>
      </w:pPr>
      <w:r>
        <w:rPr>
          <w:rFonts w:ascii="Arial" w:cs="Arial" w:eastAsia="Arial" w:hAnsi="Arial"/>
          <w:b/>
          <w:bCs/>
          <w:color w:val="331811"/>
          <w:sz w:val="27"/>
          <w:szCs w:val="27"/>
        </w:rPr>
        <w:t xml:space="preserve">4. What’s being tested: the three trees</w:t>
      </w:r>
    </w:p>
    <w:p>
      <w:pPr>
        <w:spacing w:after="120" w:before="0" w:line="276"/>
      </w:pPr>
      <w:r>
        <w:rPr>
          <w:rFonts w:ascii="Arial" w:cs="Arial" w:eastAsia="Arial" w:hAnsi="Arial"/>
          <w:b w:val="false"/>
          <w:bCs w:val="false"/>
          <w:i w:val="false"/>
          <w:iCs w:val="false"/>
          <w:color w:val="343434"/>
          <w:sz w:val="21"/>
          <w:szCs w:val="21"/>
        </w:rPr>
        <w:t xml:space="preserve">Three text-only category hierarchies, run on the same tasks. The current tree is the synthetic baseline the analytics never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Tree</w:t>
            </w:r>
          </w:p>
        </w:tc>
        <w:tc>
          <w:tcPr>
            <w:tcW w:type="dxa" w:w="716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What it is</w:t>
            </w:r>
          </w:p>
        </w:tc>
      </w:tr>
      <w:tr>
        <w:tc>
          <w:tcPr>
            <w:tcW w:type="dxa" w:w="22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Current</w:t>
            </w:r>
          </w:p>
        </w:tc>
        <w:tc>
          <w:tcPr>
            <w:tcW w:type="dxa" w:w="71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Today’s live menu structure, transcribed as-is. The baseline.</w:t>
            </w:r>
          </w:p>
        </w:tc>
      </w:tr>
      <w:tr>
        <w:tc>
          <w:tcPr>
            <w:tcW w:type="dxa" w:w="22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Level 1</w:t>
            </w:r>
          </w:p>
        </w:tc>
        <w:tc>
          <w:tcPr>
            <w:tcW w:type="dxa" w:w="71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Reorder + add: items reranked by search demand, missing high-search items added, labels fixed. No new group structure. Smallest catalog ask.</w:t>
            </w:r>
          </w:p>
        </w:tc>
      </w:tr>
      <w:tr>
        <w:tc>
          <w:tcPr>
            <w:tcW w:type="dxa" w:w="22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Level 2</w:t>
            </w:r>
          </w:p>
        </w:tc>
        <w:tc>
          <w:tcPr>
            <w:tcW w:type="dxa" w:w="71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Grouped: named subgroups added where lists are long or mixed (the grouped target rendered in the prototype). Larger catalog ask.</w:t>
            </w:r>
          </w:p>
        </w:tc>
      </w:tr>
    </w:tbl>
    <w:p>
      <w:pPr>
        <w:spacing w:after="120" w:before="0" w:line="276"/>
      </w:pPr>
      <w:r>
        <w:rPr>
          <w:rFonts w:ascii="Arial" w:cs="Arial" w:eastAsia="Arial" w:hAnsi="Arial"/>
          <w:b w:val="false"/>
          <w:bCs w:val="false"/>
          <w:i w:val="false"/>
          <w:iCs w:val="false"/>
          <w:color w:val="757575"/>
          <w:sz w:val="18"/>
          <w:szCs w:val="18"/>
        </w:rPr>
        <w:t xml:space="preserve">Build all three trees in the chosen tool from doc 18 (Full Catalog Taxonomy). Keep tasks identical across trees so results are comparable.</w:t>
      </w:r>
    </w:p>
    <w:p>
      <w:pPr>
        <w:pBdr>
          <w:bottom w:val="single" w:color="B7804E" w:sz="12" w:space="4"/>
        </w:pBdr>
        <w:spacing w:after="140" w:before="300"/>
      </w:pPr>
      <w:r>
        <w:rPr>
          <w:rFonts w:ascii="Arial" w:cs="Arial" w:eastAsia="Arial" w:hAnsi="Arial"/>
          <w:b/>
          <w:bCs/>
          <w:color w:val="331811"/>
          <w:sz w:val="27"/>
          <w:szCs w:val="27"/>
        </w:rPr>
        <w:t xml:space="preserve">5. Study design &amp; participants</w:t>
      </w:r>
    </w:p>
    <w:p>
      <w:pPr>
        <w:spacing w:after="80" w:before="140"/>
      </w:pPr>
      <w:r>
        <w:rPr>
          <w:rFonts w:ascii="Arial" w:cs="Arial" w:eastAsia="Arial" w:hAnsi="Arial"/>
          <w:b/>
          <w:bCs/>
          <w:color w:val="603423"/>
          <w:sz w:val="22"/>
          <w:szCs w:val="22"/>
        </w:rPr>
        <w:t xml:space="preserve">Design: between-subjects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Each participant sees one tree only. Testing all three on the same person would let them learn the catalog and bias later trees.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Split the panel across the three variants; segment each respondent as trade pro or homeowner with one screener question so results can be read by audience.</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Same neutral task set on every tree.</w:t>
      </w:r>
    </w:p>
    <w:p>
      <w:pPr>
        <w:spacing w:after="80" w:before="140"/>
      </w:pPr>
      <w:r>
        <w:rPr>
          <w:rFonts w:ascii="Arial" w:cs="Arial" w:eastAsia="Arial" w:hAnsi="Arial"/>
          <w:b/>
          <w:bCs/>
          <w:color w:val="603423"/>
          <w:sz w:val="22"/>
          <w:szCs w:val="22"/>
        </w:rPr>
        <w:t xml:space="preserve">Who we want</w:t>
      </w:r>
    </w:p>
    <w:p>
      <w:pPr>
        <w:spacing w:after="120" w:before="0" w:line="276"/>
      </w:pPr>
      <w:r>
        <w:rPr>
          <w:rFonts w:ascii="Arial" w:cs="Arial" w:eastAsia="Arial" w:hAnsi="Arial"/>
          <w:b w:val="false"/>
          <w:bCs w:val="false"/>
          <w:i w:val="false"/>
          <w:iCs w:val="false"/>
          <w:color w:val="343434"/>
          <w:sz w:val="21"/>
          <w:szCs w:val="21"/>
        </w:rPr>
        <w:t xml:space="preserve">Trade pros (contractors / counter pros) and homeowners/DIY. ~30–50 completes per tree variant gives a directional-to-solid quantitative read; more per variant tightens confidence. Screener / recruit: [link or contact].</w:t>
      </w:r>
    </w:p>
    <w:p>
      <w:pPr>
        <w:pBdr>
          <w:bottom w:val="single" w:color="B7804E" w:sz="12" w:space="4"/>
        </w:pBdr>
        <w:spacing w:after="140" w:before="300"/>
      </w:pPr>
      <w:r>
        <w:rPr>
          <w:rFonts w:ascii="Arial" w:cs="Arial" w:eastAsia="Arial" w:hAnsi="Arial"/>
          <w:b/>
          <w:bCs/>
          <w:color w:val="331811"/>
          <w:sz w:val="27"/>
          <w:szCs w:val="27"/>
        </w:rPr>
        <w:t xml:space="preserve">6. The task set</w:t>
      </w:r>
    </w:p>
    <w:p>
      <w:pPr>
        <w:spacing w:after="120" w:before="0" w:line="276"/>
      </w:pPr>
      <w:r>
        <w:rPr>
          <w:rFonts w:ascii="Arial" w:cs="Arial" w:eastAsia="Arial" w:hAnsi="Arial"/>
          <w:b w:val="false"/>
          <w:bCs w:val="false"/>
          <w:i w:val="false"/>
          <w:iCs w:val="false"/>
          <w:color w:val="343434"/>
          <w:sz w:val="21"/>
          <w:szCs w:val="21"/>
        </w:rPr>
        <w:t xml:space="preserve">8–12 findability tasks. Frame every task by the goal, never by the category name; that’s what makes it a real findability test. Below are starter tasks with the expected destination (for scoring) and what each probes; finalize the list with the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760"/>
      </w:tblGrid>
      <w:tr>
        <w:trPr>
          <w:tblHeader/>
        </w:trPr>
        <w:tc>
          <w:tcPr>
            <w:tcW w:type="dxa" w:w="370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Task (as the participant sees it)</w:t>
            </w:r>
          </w:p>
        </w:tc>
        <w:tc>
          <w:tcPr>
            <w:tcW w:type="dxa" w:w="290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Expected destination</w:t>
            </w:r>
          </w:p>
        </w:tc>
        <w:tc>
          <w:tcPr>
            <w:tcW w:type="dxa" w:w="2760"/>
            <w:tcBorders>
              <w:top w:val="single" w:color="DCDCDC" w:sz="1"/>
              <w:left w:val="single" w:color="DCDCDC" w:sz="1"/>
              <w:bottom w:val="single" w:color="DCDCDC" w:sz="1"/>
              <w:right w:val="single" w:color="DCDCDC" w:sz="1"/>
            </w:tcBorders>
            <w:shd w:fill="331811" w:color="auto" w:val="clear"/>
            <w:tcMar>
              <w:top w:type="dxa" w:w="70"/>
              <w:left w:type="dxa" w:w="120"/>
              <w:bottom w:type="dxa" w:w="70"/>
              <w:right w:type="dxa" w:w="120"/>
            </w:tcMar>
            <w:vAlign w:val="top"/>
          </w:tcPr>
          <w:p>
            <w:pPr>
              <w:spacing w:after="0" w:line="264"/>
            </w:pPr>
            <w:r>
              <w:rPr>
                <w:rFonts w:ascii="Arial" w:cs="Arial" w:eastAsia="Arial" w:hAnsi="Arial"/>
                <w:b/>
                <w:bCs/>
                <w:color w:val="FFFFFF"/>
                <w:sz w:val="18"/>
                <w:szCs w:val="18"/>
              </w:rPr>
              <w:t xml:space="preserve">Probes</w:t>
            </w:r>
          </w:p>
        </w:tc>
      </w:tr>
      <w:tr>
        <w:tc>
          <w:tcPr>
            <w:tcW w:type="dxa" w:w="37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“You need a circulator pump for a residential boiler. Where would you go?”</w:t>
            </w:r>
          </w:p>
        </w:tc>
        <w:tc>
          <w:tcPr>
            <w:tcW w:type="dxa" w:w="29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Heating › Circulators &amp; Pumps</w:t>
            </w:r>
          </w:p>
        </w:tc>
        <w:tc>
          <w:tcPr>
            <w:tcW w:type="dxa" w:w="2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Relabel from “Pumps”</w:t>
            </w:r>
          </w:p>
        </w:tc>
      </w:tr>
      <w:tr>
        <w:tc>
          <w:tcPr>
            <w:tcW w:type="dxa" w:w="37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 a recovery machine for pulling refrigerant.”</w:t>
            </w:r>
          </w:p>
        </w:tc>
        <w:tc>
          <w:tcPr>
            <w:tcW w:type="dxa" w:w="29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Tools › HVAC Service Tools (or HVAC cross-link)</w:t>
            </w:r>
          </w:p>
        </w:tc>
        <w:tc>
          <w:tcPr>
            <w:tcW w:type="dxa" w:w="2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Vocabulary gap + cross-link</w:t>
            </w:r>
          </w:p>
        </w:tc>
      </w:tr>
      <w:tr>
        <w:tc>
          <w:tcPr>
            <w:tcW w:type="dxa" w:w="37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“You’re looking for PVC cement and primer.”</w:t>
            </w:r>
          </w:p>
        </w:tc>
        <w:tc>
          <w:tcPr>
            <w:tcW w:type="dxa" w:w="29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Plumbing › Pipe &amp; Supply</w:t>
            </w:r>
          </w:p>
        </w:tc>
        <w:tc>
          <w:tcPr>
            <w:tcW w:type="dxa" w:w="2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Relabel from “Chemicals”</w:t>
            </w:r>
          </w:p>
        </w:tc>
      </w:tr>
      <w:tr>
        <w:tc>
          <w:tcPr>
            <w:tcW w:type="dxa" w:w="37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 a ¾-inch ProPress copper fitting.”</w:t>
            </w:r>
          </w:p>
        </w:tc>
        <w:tc>
          <w:tcPr>
            <w:tcW w:type="dxa" w:w="29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Fittings › Press Fittings</w:t>
            </w:r>
          </w:p>
        </w:tc>
        <w:tc>
          <w:tcPr>
            <w:tcW w:type="dxa" w:w="2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Large grouped menu</w:t>
            </w:r>
          </w:p>
        </w:tc>
      </w:tr>
      <w:tr>
        <w:tc>
          <w:tcPr>
            <w:tcW w:type="dxa" w:w="37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“You need a ball valve.”</w:t>
            </w:r>
          </w:p>
        </w:tc>
        <w:tc>
          <w:tcPr>
            <w:tcW w:type="dxa" w:w="29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Valves › Shutoff &amp; Isolation</w:t>
            </w:r>
          </w:p>
        </w:tc>
        <w:tc>
          <w:tcPr>
            <w:tcW w:type="dxa" w:w="2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Small-menu findability</w:t>
            </w:r>
          </w:p>
        </w:tc>
      </w:tr>
      <w:tr>
        <w:tc>
          <w:tcPr>
            <w:tcW w:type="dxa" w:w="37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 a condensate neutralizer for a high-efficiency boiler.”</w:t>
            </w:r>
          </w:p>
        </w:tc>
        <w:tc>
          <w:tcPr>
            <w:tcW w:type="dxa" w:w="29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HVAC › Condensate &amp; Drainage</w:t>
            </w:r>
          </w:p>
        </w:tc>
        <w:tc>
          <w:tcPr>
            <w:tcW w:type="dxa" w:w="2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New item + vocabulary</w:t>
            </w:r>
          </w:p>
        </w:tc>
      </w:tr>
      <w:tr>
        <w:tc>
          <w:tcPr>
            <w:tcW w:type="dxa" w:w="37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“Where would you go for PEX tubing?”</w:t>
            </w:r>
          </w:p>
        </w:tc>
        <w:tc>
          <w:tcPr>
            <w:tcW w:type="dxa" w:w="290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PEX › PEX Supply</w:t>
            </w:r>
          </w:p>
        </w:tc>
        <w:tc>
          <w:tcPr>
            <w:tcW w:type="dxa" w:w="2760"/>
            <w:tcBorders>
              <w:top w:val="single" w:color="DCDCDC" w:sz="1"/>
              <w:left w:val="single" w:color="DCDCDC" w:sz="1"/>
              <w:bottom w:val="single" w:color="DCDCDC" w:sz="1"/>
              <w:right w:val="single" w:color="DCDCDC" w:sz="1"/>
            </w:tcBorders>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Standalone PEX dept</w:t>
            </w:r>
          </w:p>
        </w:tc>
      </w:tr>
      <w:tr>
        <w:tc>
          <w:tcPr>
            <w:tcW w:type="dxa" w:w="37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“Find a thermostat.”</w:t>
            </w:r>
          </w:p>
        </w:tc>
        <w:tc>
          <w:tcPr>
            <w:tcW w:type="dxa" w:w="290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HVAC › Thermostats &amp; Controls</w:t>
            </w:r>
          </w:p>
        </w:tc>
        <w:tc>
          <w:tcPr>
            <w:tcW w:type="dxa" w:w="2760"/>
            <w:tcBorders>
              <w:top w:val="single" w:color="DCDCDC" w:sz="1"/>
              <w:left w:val="single" w:color="DCDCDC" w:sz="1"/>
              <w:bottom w:val="single" w:color="DCDCDC" w:sz="1"/>
              <w:right w:val="single" w:color="DCDCDC" w:sz="1"/>
            </w:tcBorders>
            <w:shd w:fill="F4F4F4" w:color="auto" w:val="clear"/>
            <w:tcMar>
              <w:top w:type="dxa" w:w="70"/>
              <w:left w:type="dxa" w:w="120"/>
              <w:bottom w:type="dxa" w:w="70"/>
              <w:right w:type="dxa" w:w="120"/>
            </w:tcMar>
            <w:vAlign w:val="top"/>
          </w:tcPr>
          <w:p>
            <w:pPr>
              <w:spacing w:after="0" w:line="264"/>
            </w:pPr>
            <w:r>
              <w:rPr>
                <w:rFonts w:ascii="Arial" w:cs="Arial" w:eastAsia="Arial" w:hAnsi="Arial"/>
                <w:b w:val="false"/>
                <w:bCs w:val="false"/>
                <w:color w:val="343434"/>
                <w:sz w:val="20"/>
                <w:szCs w:val="20"/>
              </w:rPr>
              <w:t xml:space="preserve">Duplicate resolution (canonical home)</w:t>
            </w:r>
          </w:p>
        </w:tc>
      </w:tr>
    </w:tbl>
    <w:p>
      <w:pPr>
        <w:pBdr>
          <w:bottom w:val="single" w:color="B7804E" w:sz="12" w:space="4"/>
        </w:pBdr>
        <w:spacing w:after="140" w:before="300"/>
      </w:pPr>
      <w:r>
        <w:rPr>
          <w:rFonts w:ascii="Arial" w:cs="Arial" w:eastAsia="Arial" w:hAnsi="Arial"/>
          <w:b/>
          <w:bCs/>
          <w:color w:val="331811"/>
          <w:sz w:val="27"/>
          <w:szCs w:val="27"/>
        </w:rPr>
        <w:t xml:space="preserve">7. What good looks like</w:t>
      </w:r>
    </w:p>
    <w:p>
      <w:pPr>
        <w:spacing w:after="120" w:before="0" w:line="276"/>
      </w:pPr>
      <w:r>
        <w:rPr>
          <w:rFonts w:ascii="Arial" w:cs="Arial" w:eastAsia="Arial" w:hAnsi="Arial"/>
          <w:b w:val="false"/>
          <w:bCs w:val="false"/>
          <w:i w:val="false"/>
          <w:iCs w:val="false"/>
          <w:color w:val="343434"/>
          <w:sz w:val="21"/>
          <w:szCs w:val="21"/>
        </w:rPr>
        <w:t xml:space="preserve">Across participants, the better structure should show:</w:t>
      </w:r>
    </w:p>
    <w:p>
      <w:pPr>
        <w:pStyle w:val="ListParagraph"/>
        <w:numPr>
          <w:ilvl w:val="0"/>
          <w:numId w:val="2"/>
        </w:numPr>
        <w:spacing w:after="70" w:line="276"/>
      </w:pPr>
      <w:r>
        <w:rPr>
          <w:rFonts w:ascii="Arial" w:cs="Arial" w:eastAsia="Arial" w:hAnsi="Arial"/>
          <w:b/>
          <w:bCs/>
          <w:color w:val="343434"/>
          <w:sz w:val="21"/>
          <w:szCs w:val="21"/>
        </w:rPr>
        <w:t xml:space="preserve">Higher success rate: </w:t>
      </w:r>
      <w:r>
        <w:rPr>
          <w:rFonts w:ascii="Arial" w:cs="Arial" w:eastAsia="Arial" w:hAnsi="Arial"/>
          <w:b w:val="false"/>
          <w:bCs w:val="false"/>
          <w:i w:val="false"/>
          <w:iCs w:val="false"/>
          <w:color w:val="343434"/>
          <w:sz w:val="21"/>
          <w:szCs w:val="21"/>
        </w:rPr>
        <w:t xml:space="preserve">more people land on the expected destination than on the current tree (a common bar is ~80%+ on core tasks).</w:t>
      </w:r>
    </w:p>
    <w:p>
      <w:pPr>
        <w:pStyle w:val="ListParagraph"/>
        <w:numPr>
          <w:ilvl w:val="0"/>
          <w:numId w:val="2"/>
        </w:numPr>
        <w:spacing w:after="70" w:line="276"/>
      </w:pPr>
      <w:r>
        <w:rPr>
          <w:rFonts w:ascii="Arial" w:cs="Arial" w:eastAsia="Arial" w:hAnsi="Arial"/>
          <w:b/>
          <w:bCs/>
          <w:color w:val="343434"/>
          <w:sz w:val="21"/>
          <w:szCs w:val="21"/>
        </w:rPr>
        <w:t xml:space="preserve">Greater directness: </w:t>
      </w:r>
      <w:r>
        <w:rPr>
          <w:rFonts w:ascii="Arial" w:cs="Arial" w:eastAsia="Arial" w:hAnsi="Arial"/>
          <w:b w:val="false"/>
          <w:bCs w:val="false"/>
          <w:i w:val="false"/>
          <w:iCs w:val="false"/>
          <w:color w:val="343434"/>
          <w:sz w:val="21"/>
          <w:szCs w:val="21"/>
        </w:rPr>
        <w:t xml:space="preserve">fewer back-ups and wrong turns on the way.</w:t>
      </w:r>
    </w:p>
    <w:p>
      <w:pPr>
        <w:pStyle w:val="ListParagraph"/>
        <w:numPr>
          <w:ilvl w:val="0"/>
          <w:numId w:val="2"/>
        </w:numPr>
        <w:spacing w:after="70" w:line="276"/>
      </w:pPr>
      <w:r>
        <w:rPr>
          <w:rFonts w:ascii="Arial" w:cs="Arial" w:eastAsia="Arial" w:hAnsi="Arial"/>
          <w:b/>
          <w:bCs/>
          <w:color w:val="343434"/>
          <w:sz w:val="21"/>
          <w:szCs w:val="21"/>
        </w:rPr>
        <w:t xml:space="preserve">Faster time-to-find </w:t>
      </w:r>
      <w:r>
        <w:rPr>
          <w:rFonts w:ascii="Arial" w:cs="Arial" w:eastAsia="Arial" w:hAnsi="Arial"/>
          <w:b w:val="false"/>
          <w:bCs w:val="false"/>
          <w:i w:val="false"/>
          <w:iCs w:val="false"/>
          <w:color w:val="343434"/>
          <w:sz w:val="21"/>
          <w:szCs w:val="21"/>
        </w:rPr>
        <w:t xml:space="preserve">on the same tasks.</w:t>
      </w:r>
    </w:p>
    <w:p>
      <w:pPr>
        <w:pStyle w:val="ListParagraph"/>
        <w:numPr>
          <w:ilvl w:val="0"/>
          <w:numId w:val="2"/>
        </w:numPr>
        <w:spacing w:after="70" w:line="276"/>
      </w:pPr>
      <w:r>
        <w:rPr>
          <w:rFonts w:ascii="Arial" w:cs="Arial" w:eastAsia="Arial" w:hAnsi="Arial"/>
          <w:b w:val="false"/>
          <w:bCs w:val="false"/>
          <w:i w:val="false"/>
          <w:iCs w:val="false"/>
          <w:color w:val="343434"/>
          <w:sz w:val="21"/>
          <w:szCs w:val="21"/>
        </w:rPr>
        <w:t xml:space="preserve">A clear read on Level 1 vs. Level 2: if Level 2 beats Level 1 meaningfully, grouping earns its catalog cost; if they tie, Level 1 may be enough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804E" w:sz="24"/>
              <w:bottom w:val="none" w:color="FFFFFF" w:sz="0"/>
              <w:right w:val="none" w:color="FFFFFF" w:sz="0"/>
            </w:tcBorders>
            <w:shd w:fill="F8F5F3" w:color="auto" w:val="clear"/>
            <w:tcMar>
              <w:top w:type="dxa" w:w="120"/>
              <w:left w:type="dxa" w:w="160"/>
              <w:bottom w:type="dxa" w:w="120"/>
              <w:right w:type="dxa" w:w="160"/>
            </w:tcMar>
          </w:tcPr>
          <w:p>
            <w:pPr>
              <w:spacing w:after="40" w:line="264"/>
            </w:pPr>
            <w:r>
              <w:rPr>
                <w:rFonts w:ascii="Arial" w:cs="Arial" w:eastAsia="Arial" w:hAnsi="Arial"/>
                <w:b/>
                <w:bCs/>
                <w:color w:val="331811"/>
                <w:sz w:val="20"/>
                <w:szCs w:val="20"/>
              </w:rPr>
              <w:t xml:space="preserve">The headline we want: </w:t>
            </w:r>
            <w:r>
              <w:rPr>
                <w:rFonts w:ascii="Arial" w:cs="Arial" w:eastAsia="Arial" w:hAnsi="Arial"/>
                <w:color w:val="343434"/>
                <w:sz w:val="20"/>
                <w:szCs w:val="20"/>
              </w:rPr>
              <w:t xml:space="preserve">“task success rose from N% on today’s structure to N% on Level 2, with fewer wrong turns”, a comparative result that is persuasive even though the live menu was never tracked.</w:t>
            </w:r>
          </w:p>
        </w:tc>
      </w:tr>
    </w:tbl>
    <w:p>
      <w:pPr>
        <w:pBdr>
          <w:bottom w:val="single" w:color="B7804E" w:sz="12" w:space="4"/>
        </w:pBdr>
        <w:spacing w:after="140" w:before="300"/>
      </w:pPr>
      <w:r>
        <w:rPr>
          <w:rFonts w:ascii="Arial" w:cs="Arial" w:eastAsia="Arial" w:hAnsi="Arial"/>
          <w:b/>
          <w:bCs/>
          <w:color w:val="331811"/>
          <w:sz w:val="27"/>
          <w:szCs w:val="27"/>
        </w:rPr>
        <w:t xml:space="preserve">8. What to capture &amp; hand back</w:t>
      </w:r>
    </w:p>
    <w:p>
      <w:pPr>
        <w:pStyle w:val="ListParagraph"/>
        <w:numPr>
          <w:ilvl w:val="0"/>
          <w:numId w:val="2"/>
        </w:numPr>
        <w:spacing w:after="70" w:line="276"/>
      </w:pPr>
      <w:r>
        <w:rPr>
          <w:rFonts w:ascii="Arial" w:cs="Arial" w:eastAsia="Arial" w:hAnsi="Arial"/>
          <w:b/>
          <w:bCs/>
          <w:color w:val="343434"/>
          <w:sz w:val="21"/>
          <w:szCs w:val="21"/>
        </w:rPr>
        <w:t xml:space="preserve">Per tree: </w:t>
      </w:r>
      <w:r>
        <w:rPr>
          <w:rFonts w:ascii="Arial" w:cs="Arial" w:eastAsia="Arial" w:hAnsi="Arial"/>
          <w:b w:val="false"/>
          <w:bCs w:val="false"/>
          <w:i w:val="false"/>
          <w:iCs w:val="false"/>
          <w:color w:val="343434"/>
          <w:sz w:val="21"/>
          <w:szCs w:val="21"/>
        </w:rPr>
        <w:t xml:space="preserve">success rate, directness, and median time per task, plus the same broken out by segment (pro vs. homeowner).</w:t>
      </w:r>
    </w:p>
    <w:p>
      <w:pPr>
        <w:pStyle w:val="ListParagraph"/>
        <w:numPr>
          <w:ilvl w:val="0"/>
          <w:numId w:val="2"/>
        </w:numPr>
        <w:spacing w:after="70" w:line="276"/>
      </w:pPr>
      <w:r>
        <w:rPr>
          <w:rFonts w:ascii="Arial" w:cs="Arial" w:eastAsia="Arial" w:hAnsi="Arial"/>
          <w:b/>
          <w:bCs/>
          <w:color w:val="343434"/>
          <w:sz w:val="21"/>
          <w:szCs w:val="21"/>
        </w:rPr>
        <w:t xml:space="preserve">First-click / first destination </w:t>
      </w:r>
      <w:r>
        <w:rPr>
          <w:rFonts w:ascii="Arial" w:cs="Arial" w:eastAsia="Arial" w:hAnsi="Arial"/>
          <w:b w:val="false"/>
          <w:bCs w:val="false"/>
          <w:i w:val="false"/>
          <w:iCs w:val="false"/>
          <w:color w:val="343434"/>
          <w:sz w:val="21"/>
          <w:szCs w:val="21"/>
        </w:rPr>
        <w:t xml:space="preserve">for each task, and the common wrong destinations.</w:t>
      </w:r>
    </w:p>
    <w:p>
      <w:pPr>
        <w:pStyle w:val="ListParagraph"/>
        <w:numPr>
          <w:ilvl w:val="0"/>
          <w:numId w:val="2"/>
        </w:numPr>
        <w:spacing w:after="70" w:line="276"/>
      </w:pPr>
      <w:r>
        <w:rPr>
          <w:rFonts w:ascii="Arial" w:cs="Arial" w:eastAsia="Arial" w:hAnsi="Arial"/>
          <w:b/>
          <w:bCs/>
          <w:color w:val="343434"/>
          <w:sz w:val="21"/>
          <w:szCs w:val="21"/>
        </w:rPr>
        <w:t xml:space="preserve">A short readout: </w:t>
      </w:r>
      <w:r>
        <w:rPr>
          <w:rFonts w:ascii="Arial" w:cs="Arial" w:eastAsia="Arial" w:hAnsi="Arial"/>
          <w:b w:val="false"/>
          <w:bCs w:val="false"/>
          <w:i w:val="false"/>
          <w:iCs w:val="false"/>
          <w:color w:val="343434"/>
          <w:sz w:val="21"/>
          <w:szCs w:val="21"/>
        </w:rPr>
        <w:t xml:space="preserve">a recommended taxonomy (current / L1 / L2), the tasks that failed and why, and any segment splits, backed by the numbers.</w:t>
      </w:r>
    </w:p>
    <w:p>
      <w:pPr>
        <w:pStyle w:val="ListParagraph"/>
        <w:numPr>
          <w:ilvl w:val="0"/>
          <w:numId w:val="2"/>
        </w:numPr>
        <w:spacing w:after="70" w:line="276"/>
      </w:pPr>
      <w:r>
        <w:rPr>
          <w:rFonts w:ascii="Arial" w:cs="Arial" w:eastAsia="Arial" w:hAnsi="Arial"/>
          <w:b/>
          <w:bCs/>
          <w:color w:val="343434"/>
          <w:sz w:val="21"/>
          <w:szCs w:val="21"/>
        </w:rPr>
        <w:t xml:space="preserve">Storage: </w:t>
      </w:r>
      <w:r>
        <w:rPr>
          <w:rFonts w:ascii="Arial" w:cs="Arial" w:eastAsia="Arial" w:hAnsi="Arial"/>
          <w:b w:val="false"/>
          <w:bCs w:val="false"/>
          <w:i w:val="false"/>
          <w:iCs w:val="false"/>
          <w:color w:val="343434"/>
          <w:sz w:val="21"/>
          <w:szCs w:val="21"/>
        </w:rPr>
        <w:t xml:space="preserve">results export and readout in [location].</w:t>
      </w:r>
    </w:p>
    <w:p>
      <w:pPr>
        <w:pBdr>
          <w:bottom w:val="single" w:color="B7804E" w:sz="12" w:space="4"/>
        </w:pBdr>
        <w:spacing w:after="140" w:before="300"/>
      </w:pPr>
      <w:r>
        <w:rPr>
          <w:rFonts w:ascii="Arial" w:cs="Arial" w:eastAsia="Arial" w:hAnsi="Arial"/>
          <w:b/>
          <w:bCs/>
          <w:color w:val="331811"/>
          <w:sz w:val="27"/>
          <w:szCs w:val="27"/>
        </w:rPr>
        <w:t xml:space="preserve">9. Before you field it</w:t>
      </w:r>
    </w:p>
    <w:p>
      <w:pPr>
        <w:pStyle w:val="ListParagraph"/>
        <w:numPr>
          <w:ilvl w:val="0"/>
          <w:numId w:val="3"/>
        </w:numPr>
        <w:spacing w:after="70" w:line="276"/>
      </w:pPr>
      <w:r>
        <w:rPr>
          <w:rFonts w:ascii="Arial" w:cs="Arial" w:eastAsia="Arial" w:hAnsi="Arial"/>
          <w:b w:val="false"/>
          <w:bCs w:val="false"/>
          <w:i w:val="false"/>
          <w:iCs w:val="false"/>
          <w:color w:val="343434"/>
          <w:sz w:val="21"/>
          <w:szCs w:val="21"/>
        </w:rPr>
        <w:t xml:space="preserve">Build all three trees (current / L1 / L2) in the chosen tool from doc 18; proofread department and item labels.</w:t>
      </w:r>
    </w:p>
    <w:p>
      <w:pPr>
        <w:pStyle w:val="ListParagraph"/>
        <w:numPr>
          <w:ilvl w:val="0"/>
          <w:numId w:val="3"/>
        </w:numPr>
        <w:spacing w:after="70" w:line="276"/>
      </w:pPr>
      <w:r>
        <w:rPr>
          <w:rFonts w:ascii="Arial" w:cs="Arial" w:eastAsia="Arial" w:hAnsi="Arial"/>
          <w:b w:val="false"/>
          <w:bCs w:val="false"/>
          <w:i w:val="false"/>
          <w:iCs w:val="false"/>
          <w:color w:val="343434"/>
          <w:sz w:val="21"/>
          <w:szCs w:val="21"/>
        </w:rPr>
        <w:t xml:space="preserve">Finalize the 8–12 tasks with the researcher and lock the expected destination for each.</w:t>
      </w:r>
    </w:p>
    <w:p>
      <w:pPr>
        <w:pStyle w:val="ListParagraph"/>
        <w:numPr>
          <w:ilvl w:val="0"/>
          <w:numId w:val="3"/>
        </w:numPr>
        <w:spacing w:after="70" w:line="276"/>
      </w:pPr>
      <w:r>
        <w:rPr>
          <w:rFonts w:ascii="Arial" w:cs="Arial" w:eastAsia="Arial" w:hAnsi="Arial"/>
          <w:b w:val="false"/>
          <w:bCs w:val="false"/>
          <w:i w:val="false"/>
          <w:iCs w:val="false"/>
          <w:color w:val="343434"/>
          <w:sz w:val="21"/>
          <w:szCs w:val="21"/>
        </w:rPr>
        <w:t xml:space="preserve">Set the screener (pro vs. homeowner) and confirm the recruit source and target per variant.</w:t>
      </w:r>
    </w:p>
    <w:p>
      <w:pPr>
        <w:pStyle w:val="ListParagraph"/>
        <w:numPr>
          <w:ilvl w:val="0"/>
          <w:numId w:val="3"/>
        </w:numPr>
        <w:spacing w:after="70" w:line="276"/>
      </w:pPr>
      <w:r>
        <w:rPr>
          <w:rFonts w:ascii="Arial" w:cs="Arial" w:eastAsia="Arial" w:hAnsi="Arial"/>
          <w:b w:val="false"/>
          <w:bCs w:val="false"/>
          <w:i w:val="false"/>
          <w:iCs w:val="false"/>
          <w:color w:val="343434"/>
          <w:sz w:val="21"/>
          <w:szCs w:val="21"/>
        </w:rPr>
        <w:t xml:space="preserve">Agree the success thresholds up front (e.g., ~80% success) so the readout has a clear pass/fail.</w:t>
      </w:r>
    </w:p>
    <w:p>
      <w:pPr>
        <w:pStyle w:val="ListParagraph"/>
        <w:numPr>
          <w:ilvl w:val="0"/>
          <w:numId w:val="3"/>
        </w:numPr>
        <w:spacing w:after="70" w:line="276"/>
      </w:pPr>
      <w:r>
        <w:rPr>
          <w:rFonts w:ascii="Arial" w:cs="Arial" w:eastAsia="Arial" w:hAnsi="Arial"/>
          <w:b w:val="false"/>
          <w:bCs w:val="false"/>
          <w:i w:val="false"/>
          <w:iCs w:val="false"/>
          <w:color w:val="343434"/>
          <w:sz w:val="21"/>
          <w:szCs w:val="21"/>
        </w:rPr>
        <w:t xml:space="preserve">Pilot with 2–3 colleagues to catch confusing task wording before the panel goes live.</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804E" w:sz="24"/>
              <w:bottom w:val="none" w:color="FFFFFF" w:sz="0"/>
              <w:right w:val="none" w:color="FFFFFF" w:sz="0"/>
            </w:tcBorders>
            <w:shd w:fill="F8F5F3" w:color="auto" w:val="clear"/>
            <w:tcMar>
              <w:top w:type="dxa" w:w="120"/>
              <w:left w:type="dxa" w:w="160"/>
              <w:bottom w:type="dxa" w:w="120"/>
              <w:right w:type="dxa" w:w="160"/>
            </w:tcMar>
          </w:tcPr>
          <w:p>
            <w:pPr>
              <w:spacing w:after="60"/>
            </w:pPr>
            <w:r>
              <w:rPr>
                <w:rFonts w:ascii="Arial" w:cs="Arial" w:eastAsia="Arial" w:hAnsi="Arial"/>
                <w:b/>
                <w:bCs/>
                <w:color w:val="331811"/>
                <w:sz w:val="21"/>
                <w:szCs w:val="21"/>
              </w:rPr>
              <w:t xml:space="preserve">Before anything goes in front of a participant</w:t>
            </w:r>
          </w:p>
          <w:p>
            <w:pPr>
              <w:spacing w:after="40" w:line="264"/>
            </w:pPr>
            <w:r>
              <w:rPr>
                <w:rFonts w:ascii="Arial" w:cs="Arial" w:eastAsia="Arial" w:hAnsi="Arial"/>
                <w:color w:val="343434"/>
                <w:sz w:val="20"/>
                <w:szCs w:val="20"/>
              </w:rPr>
              <w:t xml:space="preserve">This is an internal research instrument. Any participant-facing wording (intro, consent, task prompts) should get a quick human review before sessions.</w:t>
            </w:r>
          </w:p>
          <w:p>
            <w:pPr>
              <w:spacing w:after="40" w:line="264"/>
            </w:pPr>
            <w:r>
              <w:rPr>
                <w:rFonts w:ascii="Arial" w:cs="Arial" w:eastAsia="Arial" w:hAnsi="Arial"/>
                <w:color w:val="343434"/>
                <w:sz w:val="20"/>
                <w:szCs w:val="20"/>
              </w:rPr>
              <w:t xml:space="preserve">Don’t capture participant personal or account data beyond what consent covers; use anonymized participant IDs (P1, P2 …) in notes.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3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331811"/>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33181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2026-06-23T21:01:41.106Z</dcterms:created>
  <dcterms:modified xsi:type="dcterms:W3CDTF">2026-06-23T21:01:41.107Z</dcterms:modified>
</cp:coreProperties>
</file>

<file path=docProps/custom.xml><?xml version="1.0" encoding="utf-8"?>
<Properties xmlns="http://schemas.openxmlformats.org/officeDocument/2006/custom-properties" xmlns:vt="http://schemas.openxmlformats.org/officeDocument/2006/docPropsVTypes"/>
</file>