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drawing>
          <wp:inline distT="0" distB="0" distL="0" distR="0">
            <wp:extent cx="28575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DA546" w:sz="8" w:space="1"/>
        </w:pBd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 w:before="240"/>
        <w:jc w:val="center"/>
      </w:pPr>
      <w:r>
        <w:rPr>
          <w:rFonts w:ascii="Calibri" w:cs="Calibri" w:eastAsia="Calibri" w:hAnsi="Calibri"/>
          <w:b/>
          <w:bCs/>
          <w:color w:val="1A5276"/>
          <w:sz w:val="34"/>
          <w:szCs w:val="34"/>
        </w:rPr>
        <w:t xml:space="preserve">Manual de Despliegue en la Nube</w:t>
      </w:r>
    </w:p>
    <w:p>
      <w:pPr>
        <w:spacing w:after="240" w:before="12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API de Readmisión Hospitalaria contenerizada con Docker</w:t>
      </w:r>
    </w:p>
    <w:p>
      <w:pPr>
        <w:pBdr>
          <w:bottom w:val="single" w:color="2DA546" w:sz="8" w:space="1"/>
        </w:pBd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2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000"/>
        <w:gridCol w:w="6360"/>
      </w:tblGrid>
      <w:tr>
        <w:tc>
          <w:tcPr>
            <w:tcW w:type="dxa" w:w="3000"/>
            <w:shd w:fill="2DA54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Materia:</w:t>
            </w:r>
          </w:p>
        </w:tc>
        <w:tc>
          <w:tcPr>
            <w:tcW w:type="dxa" w:w="6360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Gestión de Proyectos de Inteligencia Artificial</w:t>
            </w:r>
          </w:p>
        </w:tc>
      </w:tr>
      <w:tr>
        <w:tc>
          <w:tcPr>
            <w:tcW w:type="dxa" w:w="3000"/>
            <w:shd w:fill="1A527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Actividad:</w:t>
            </w:r>
          </w:p>
        </w:tc>
        <w:tc>
          <w:tcPr>
            <w:tcW w:type="dxa" w:w="6360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Fase II — Solución técnica desplegable</w:t>
            </w:r>
          </w:p>
        </w:tc>
      </w:tr>
      <w:tr>
        <w:tc>
          <w:tcPr>
            <w:tcW w:type="dxa" w:w="3000"/>
            <w:shd w:fill="2DA54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Alumno(a):</w:t>
            </w:r>
          </w:p>
        </w:tc>
        <w:tc>
          <w:tcPr>
            <w:tcW w:type="dxa" w:w="6360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JUAN ANDRES GUTIERREZ MARTINEZ</w:t>
            </w:r>
          </w:p>
        </w:tc>
      </w:tr>
      <w:tr>
        <w:tc>
          <w:tcPr>
            <w:tcW w:type="dxa" w:w="3000"/>
            <w:shd w:fill="1A527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Matrícula:</w:t>
            </w:r>
          </w:p>
        </w:tc>
        <w:tc>
          <w:tcPr>
            <w:tcW w:type="dxa" w:w="6360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07144441</w:t>
            </w:r>
          </w:p>
        </w:tc>
      </w:tr>
      <w:tr>
        <w:tc>
          <w:tcPr>
            <w:tcW w:type="dxa" w:w="3000"/>
            <w:shd w:fill="2DA54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Docente:</w:t>
            </w:r>
          </w:p>
        </w:tc>
        <w:tc>
          <w:tcPr>
            <w:tcW w:type="dxa" w:w="6360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LUIS ARIEL VAZQUEZ PEÑA</w:t>
            </w:r>
          </w:p>
        </w:tc>
      </w:tr>
      <w:tr>
        <w:tc>
          <w:tcPr>
            <w:tcW w:type="dxa" w:w="3000"/>
            <w:shd w:fill="1A527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Fecha de entrega:</w:t>
            </w:r>
          </w:p>
        </w:tc>
        <w:tc>
          <w:tcPr>
            <w:tcW w:type="dxa" w:w="6360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12 / 07 / 2026</w:t>
            </w:r>
          </w:p>
        </w:tc>
      </w:tr>
    </w:tbl>
    <w:p>
      <w:r>
        <w:br w:type="page"/>
      </w:r>
    </w:p>
    <w:p>
      <w:pPr>
        <w:pStyle w:val="Heading1"/>
        <w:spacing w:after="60" w:before="240"/>
      </w:pPr>
      <w:r>
        <w:rPr>
          <w:rFonts w:ascii="Calibri" w:cs="Calibri" w:eastAsia="Calibri" w:hAnsi="Calibri"/>
          <w:b/>
          <w:bCs/>
          <w:color w:val="1A5276"/>
          <w:sz w:val="32"/>
          <w:szCs w:val="32"/>
        </w:rPr>
        <w:t xml:space="preserve">Declaración de Uso de Inteligencia Artificial</w:t>
      </w:r>
    </w:p>
    <w:p>
      <w:pPr>
        <w:pBdr>
          <w:bottom w:val="single" w:color="2DA546" w:sz="8" w:space="1"/>
        </w:pBd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60" w:before="60" w:line="276"/>
        <w:jc w:val="both"/>
      </w:pPr>
      <w:r>
        <w:rPr>
          <w:rFonts w:ascii="Calibri" w:cs="Calibri" w:eastAsia="Calibri" w:hAnsi="Calibri"/>
        </w:rPr>
        <w:t xml:space="preserve">El alumno debe indicar de manera honesta si utilizó herramientas de Inteligencia Artificial (IA) para el desarrollo de esta actividad. Se completa la siguiente tabla:</w:t>
      </w:r>
    </w:p>
    <w:tbl>
      <w:tblPr>
        <w:tblW w:type="dxa" w:w="9360"/>
        <w:tblBorders>
          <w:top w:val="single" w:color="AAB7B8" w:sz="4"/>
          <w:left w:val="single" w:color="AAB7B8" w:sz="4"/>
          <w:bottom w:val="single" w:color="AAB7B8" w:sz="4"/>
          <w:right w:val="single" w:color="AAB7B8" w:sz="4"/>
          <w:insideH w:val="single" w:color="D5DBDB" w:sz="4"/>
          <w:insideV w:val="single" w:color="D5DBDB" w:sz="4"/>
        </w:tblBorders>
      </w:tblPr>
      <w:tblGrid>
        <w:gridCol w:w="3500"/>
        <w:gridCol w:w="2200"/>
        <w:gridCol w:w="3660"/>
      </w:tblGrid>
      <w:tr>
        <w:trPr>
          <w:tblHeader/>
        </w:trPr>
        <w:tc>
          <w:tcPr>
            <w:tcW w:type="dxa" w:w="3500"/>
            <w:shd w:fill="2DA5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Herramienta de IA utilizada</w:t>
            </w:r>
          </w:p>
        </w:tc>
        <w:tc>
          <w:tcPr>
            <w:tcW w:type="dxa" w:w="2200"/>
            <w:shd w:fill="2DA5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¿La usaste?</w:t>
            </w:r>
          </w:p>
        </w:tc>
        <w:tc>
          <w:tcPr>
            <w:tcW w:type="dxa" w:w="3660"/>
            <w:shd w:fill="2DA5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Propósito / Descripción de uso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ChatGPT / OpenAI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 No</w:t>
            </w:r>
          </w:p>
        </w:tc>
        <w:tc>
          <w:tcPr>
            <w:tcW w:type="dxa" w:w="36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Claude (Anthropic)</w:t>
            </w:r>
          </w:p>
        </w:tc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☒ Sí</w:t>
            </w:r>
          </w:p>
        </w:tc>
        <w:tc>
          <w:tcPr>
            <w:tcW w:type="dxa" w:w="366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Generación y documentación del código, redacción técnica del manual, Dockerfile y estrategia de despliegue.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Gemini (Google)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 No</w:t>
            </w:r>
          </w:p>
        </w:tc>
        <w:tc>
          <w:tcPr>
            <w:tcW w:type="dxa" w:w="36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Copilot (Microsoft)</w:t>
            </w:r>
          </w:p>
        </w:tc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 No</w:t>
            </w:r>
          </w:p>
        </w:tc>
        <w:tc>
          <w:tcPr>
            <w:tcW w:type="dxa" w:w="366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Otra (especifica):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 No</w:t>
            </w:r>
          </w:p>
        </w:tc>
        <w:tc>
          <w:tcPr>
            <w:tcW w:type="dxa" w:w="36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40"/>
      </w:pPr>
      <w:r>
        <w:rPr>
          <w:rFonts w:ascii="Calibri" w:cs="Calibri" w:eastAsia="Calibri" w:hAnsi="Calibri"/>
          <w:b/>
          <w:bCs/>
          <w:color w:val="1A5276"/>
          <w:sz w:val="32"/>
          <w:szCs w:val="32"/>
        </w:rPr>
        <w:t xml:space="preserve">Desarrollo de Contenido</w:t>
      </w:r>
    </w:p>
    <w:p>
      <w:pPr>
        <w:pBdr>
          <w:bottom w:val="single" w:color="2DA546" w:sz="8" w:space="1"/>
        </w:pBd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1. Introducción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</w:rPr>
        <w:t xml:space="preserve">Un modelo de aprendizaje automático que ofrece un desempeño sobresaliente en el entorno de desarrollo no garantiza, por sí mismo, resultados consistentes al trasladarse a otros entornos. Las diferencias en dependencias, versiones de librerías y configuraciones del sistema operativo suelen provocar inconsistencias en las predicciones. Este documento presenta el manual de despliegue de una solución técnica completa y desplegable que resuelve dicho problema mediante la contenerización con Docker.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</w:rPr>
        <w:t xml:space="preserve">La solución encapsula un modelo de clasificación —predicción de readmisión hospitalaria a 30 días en pacientes con enfermedades crónicas— junto con su código, dependencias y entorno de ejecución, en una unidad portable, aislada y reproducible. El modelo se expone como una API REST (Flask) integrada con un frontend web, y se prepara su publicación en la nube bajo un modelo de servicio PaaS.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618D"/>
          <w:sz w:val="23"/>
          <w:szCs w:val="23"/>
        </w:rPr>
        <w:t xml:space="preserve">Objetivo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</w:rPr>
        <w:t xml:space="preserve">Desarrollar y documentar una solución técnica completa y desplegable que garantice portabilidad, consistencia y reproducibilidad del modelo desde el entorno local hasta la nube.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618D"/>
          <w:sz w:val="23"/>
          <w:szCs w:val="23"/>
        </w:rPr>
        <w:t xml:space="preserve">Alcance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Contenerización de la aplicación (modelo + API + frontend) mediante Docker.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Validación del funcionamiento en un entorno local comprobable.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Integración funcional entre frontend y backend a través de una API REST.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Estrategia y procedimiento paso a paso para el despliegue en la nube (PaaS).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Documentación técnica alineada con la norma ISO/IEC 23053 y apoyada en herramientas de IA generativa.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2. Desarrollo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618D"/>
          <w:sz w:val="23"/>
          <w:szCs w:val="23"/>
        </w:rPr>
        <w:t xml:space="preserve">2.1 Descripción de la solución y arquitectura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</w:rPr>
        <w:t xml:space="preserve">La solución sigue una arquitectura cliente-servidor de tres capas. El frontend (interfaz web) captura las variables clínicas del paciente y las envía mediante HTTP/JSON al backend. El backend (API REST en Flask) recibe la solicitud, valida los datos, carga el modelo serializado (model.pkl) y devuelve la predicción con su probabilidad. El modelo aplica un umbral operativo de 0.30 para priorizar el recall (no omitir pacientes de alto riesgo).</w:t>
      </w:r>
    </w:p>
    <w:p>
      <w:pPr>
        <w:spacing w:after="120" w:before="60" w:line="276"/>
        <w:jc w:val="both"/>
      </w:pPr>
      <w:r>
        <w:rPr>
          <w:rFonts w:ascii="Consolas" w:cs="Consolas" w:eastAsia="Consolas" w:hAnsi="Consolas"/>
          <w:sz w:val="18"/>
          <w:szCs w:val="18"/>
        </w:rPr>
        <w:t xml:space="preserve">Frontend (HTML/JS)  →  API REST (Flask, app.py)  →  Modelo (Random Forest, model.pkl)</w:t>
      </w:r>
    </w:p>
    <w:tbl>
      <w:tblPr>
        <w:tblW w:type="dxa" w:w="9360"/>
        <w:tblBorders>
          <w:top w:val="single" w:color="AAB7B8" w:sz="4"/>
          <w:left w:val="single" w:color="AAB7B8" w:sz="4"/>
          <w:bottom w:val="single" w:color="AAB7B8" w:sz="4"/>
          <w:right w:val="single" w:color="AAB7B8" w:sz="4"/>
          <w:insideH w:val="single" w:color="D5DBDB" w:sz="4"/>
          <w:insideV w:val="single" w:color="D5DBDB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shd w:fill="2DA5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3000"/>
            <w:shd w:fill="2DA5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3760"/>
            <w:shd w:fill="2DA5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Entrenamiento offline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entrenar_modelo.py</w:t>
            </w:r>
          </w:p>
        </w:tc>
        <w:tc>
          <w:tcPr>
            <w:tcW w:type="dxa" w:w="3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Entrena el Random Forest y serializa model.pkl</w:t>
            </w:r>
          </w:p>
        </w:tc>
      </w:tr>
      <w:tr>
        <w:tc>
          <w:tcPr>
            <w:tcW w:type="dxa" w:w="26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 / API</w:t>
            </w:r>
          </w:p>
        </w:tc>
        <w:tc>
          <w:tcPr>
            <w:tcW w:type="dxa" w:w="3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app.py</w:t>
            </w:r>
          </w:p>
        </w:tc>
        <w:tc>
          <w:tcPr>
            <w:tcW w:type="dxa" w:w="376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Expone los endpoints REST y sirve el frontend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Frontend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templates/index.html</w:t>
            </w:r>
          </w:p>
        </w:tc>
        <w:tc>
          <w:tcPr>
            <w:tcW w:type="dxa" w:w="3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Formulario web que consume POST /predict</w:t>
            </w:r>
          </w:p>
        </w:tc>
      </w:tr>
      <w:tr>
        <w:tc>
          <w:tcPr>
            <w:tcW w:type="dxa" w:w="26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Simulación local</w:t>
            </w:r>
          </w:p>
        </w:tc>
        <w:tc>
          <w:tcPr>
            <w:tcW w:type="dxa" w:w="3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simular.py</w:t>
            </w:r>
          </w:p>
        </w:tc>
        <w:tc>
          <w:tcPr>
            <w:tcW w:type="dxa" w:w="376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Casos comunes, extremos y validación con probabilidades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de prueba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cliente_api.py</w:t>
            </w:r>
          </w:p>
        </w:tc>
        <w:tc>
          <w:tcPr>
            <w:tcW w:type="dxa" w:w="3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Consume la API por HTTP (evidencia de integración)</w:t>
            </w:r>
          </w:p>
        </w:tc>
      </w:tr>
      <w:tr>
        <w:tc>
          <w:tcPr>
            <w:tcW w:type="dxa" w:w="26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Contenedor</w:t>
            </w:r>
          </w:p>
        </w:tc>
        <w:tc>
          <w:tcPr>
            <w:tcW w:type="dxa" w:w="3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Dockerfile / docker-compose.yml</w:t>
            </w:r>
          </w:p>
        </w:tc>
        <w:tc>
          <w:tcPr>
            <w:tcW w:type="dxa" w:w="376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Definición de la imagen e instrucciones de ejecución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  <w:color w:val="1F618D"/>
          <w:sz w:val="23"/>
          <w:szCs w:val="23"/>
        </w:rPr>
        <w:t xml:space="preserve">2.2 Requerimientos técnicos</w:t>
      </w:r>
    </w:p>
    <w:tbl>
      <w:tblPr>
        <w:tblW w:type="dxa" w:w="9360"/>
        <w:tblBorders>
          <w:top w:val="single" w:color="AAB7B8" w:sz="4"/>
          <w:left w:val="single" w:color="AAB7B8" w:sz="4"/>
          <w:bottom w:val="single" w:color="AAB7B8" w:sz="4"/>
          <w:right w:val="single" w:color="AAB7B8" w:sz="4"/>
          <w:insideH w:val="single" w:color="D5DBDB" w:sz="4"/>
          <w:insideV w:val="single" w:color="D5DBDB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2DA5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Categoría</w:t>
            </w:r>
          </w:p>
        </w:tc>
        <w:tc>
          <w:tcPr>
            <w:tcW w:type="dxa" w:w="6160"/>
            <w:shd w:fill="2DA5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Sistema operativo</w:t>
            </w:r>
          </w:p>
        </w:tc>
        <w:tc>
          <w:tcPr>
            <w:tcW w:type="dxa" w:w="6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Windows, Linux o macOS con Docker Engine 24+ (probado en 29.6.1)</w:t>
            </w:r>
          </w:p>
        </w:tc>
      </w:tr>
      <w:tr>
        <w:tc>
          <w:tcPr>
            <w:tcW w:type="dxa" w:w="3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Lenguaje</w:t>
            </w:r>
          </w:p>
        </w:tc>
        <w:tc>
          <w:tcPr>
            <w:tcW w:type="dxa" w:w="616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Python 3.11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Contenerización</w:t>
            </w:r>
          </w:p>
        </w:tc>
        <w:tc>
          <w:tcPr>
            <w:tcW w:type="dxa" w:w="6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Docker / Docker Compose</w:t>
            </w:r>
          </w:p>
        </w:tc>
      </w:tr>
      <w:tr>
        <w:tc>
          <w:tcPr>
            <w:tcW w:type="dxa" w:w="3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Framework web</w:t>
            </w:r>
          </w:p>
        </w:tc>
        <w:tc>
          <w:tcPr>
            <w:tcW w:type="dxa" w:w="616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Flask 3.1 (servido con gunicorn en producción)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Librerías de ML</w:t>
            </w:r>
          </w:p>
        </w:tc>
        <w:tc>
          <w:tcPr>
            <w:tcW w:type="dxa" w:w="6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scikit-learn 1.9, joblib 1.5, numpy 2.2, pandas 2.2</w:t>
            </w:r>
          </w:p>
        </w:tc>
      </w:tr>
      <w:tr>
        <w:tc>
          <w:tcPr>
            <w:tcW w:type="dxa" w:w="3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Control de versiones</w:t>
            </w:r>
          </w:p>
        </w:tc>
        <w:tc>
          <w:tcPr>
            <w:tcW w:type="dxa" w:w="616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Git + repositorio en GitHub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Puerto expuesto</w:t>
            </w:r>
          </w:p>
        </w:tc>
        <w:tc>
          <w:tcPr>
            <w:tcW w:type="dxa" w:w="6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5000/TCP</w:t>
            </w:r>
          </w:p>
        </w:tc>
      </w:tr>
    </w:tbl>
    <w:p>
      <w:pPr>
        <w:spacing w:after="120" w:before="60" w:line="276"/>
        <w:jc w:val="both"/>
      </w:pPr>
      <w:r>
        <w:rPr>
          <w:rFonts w:ascii="Calibri" w:cs="Calibri" w:eastAsia="Calibri" w:hAnsi="Calibri"/>
        </w:rPr>
        <w:t xml:space="preserve">Las versiones se fijan en requirements.txt para asegurar reproducibilidad entre entornos, evitando las incompatibilidades descritas en la introducción.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618D"/>
          <w:sz w:val="23"/>
          <w:szCs w:val="23"/>
        </w:rPr>
        <w:t xml:space="preserve">2.3 Estructura del repositorio en GitHub</w:t>
      </w:r>
    </w:p>
    <w:p>
      <w:pPr>
        <w:shd w:fill="F4F6F6" w:color="auto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readmision-api/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app.py                 # API REST (backend)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entrenar_modelo.py     # entrenamiento offline -&gt; model.pkl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simular.py             # simulación local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cliente_api.py         # cliente HTTP de prueba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requirements.txt       # dependencias con versiones fijadas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Dockerfile             # definición de la imagen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docker-compose.yml     # orquestación local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.dockerignore / .gitignore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templates/index.html   # frontend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tests/test_api.py      # pruebas funcionales (pytest)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evidencias/            # salidas de pruebas, tablero y evidencia Docker</w:t>
      </w:r>
      <w:r>
        <w:rPr>
          <w:rFonts w:ascii="Consolas" w:cs="Consolas" w:eastAsia="Consolas" w:hAnsi="Consolas"/>
          <w:sz w:val="18"/>
          <w:szCs w:val="18"/>
        </w:rPr>
        <w:br/>
        <w:t xml:space="preserve">└── README.md              # manual del repositorio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618D"/>
          <w:sz w:val="23"/>
          <w:szCs w:val="23"/>
        </w:rPr>
        <w:t xml:space="preserve">2.4 Construcción del contenedor (Dockerfile)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</w:rPr>
        <w:t xml:space="preserve">El Dockerfile define, paso a paso, cómo se construye la imagen. Las instrucciones principales son:</w:t>
      </w:r>
    </w:p>
    <w:tbl>
      <w:tblPr>
        <w:tblW w:type="dxa" w:w="9360"/>
        <w:tblBorders>
          <w:top w:val="single" w:color="AAB7B8" w:sz="4"/>
          <w:left w:val="single" w:color="AAB7B8" w:sz="4"/>
          <w:bottom w:val="single" w:color="AAB7B8" w:sz="4"/>
          <w:right w:val="single" w:color="AAB7B8" w:sz="4"/>
          <w:insideH w:val="single" w:color="D5DBDB" w:sz="4"/>
          <w:insideV w:val="single" w:color="D5DBDB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2DA5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Instrucción</w:t>
            </w:r>
          </w:p>
        </w:tc>
        <w:tc>
          <w:tcPr>
            <w:tcW w:type="dxa" w:w="5760"/>
            <w:shd w:fill="2DA5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FROM python:3.11-slim</w:t>
            </w:r>
          </w:p>
        </w:tc>
        <w:tc>
          <w:tcPr>
            <w:tcW w:type="dxa" w:w="5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Imagen base ligera compatible con el modelo</w:t>
            </w:r>
          </w:p>
        </w:tc>
      </w:tr>
      <w:tr>
        <w:tc>
          <w:tcPr>
            <w:tcW w:type="dxa" w:w="36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WORKDIR /app</w:t>
            </w:r>
          </w:p>
        </w:tc>
        <w:tc>
          <w:tcPr>
            <w:tcW w:type="dxa" w:w="576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Define el directorio de trabajo dentro del contenedor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COPY requirements.txt .</w:t>
            </w:r>
          </w:p>
        </w:tc>
        <w:tc>
          <w:tcPr>
            <w:tcW w:type="dxa" w:w="5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Copia primero las dependencias (aprovecha la caché de capas)</w:t>
            </w:r>
          </w:p>
        </w:tc>
      </w:tr>
      <w:tr>
        <w:tc>
          <w:tcPr>
            <w:tcW w:type="dxa" w:w="36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RUN pip install --no-cache-dir</w:t>
            </w:r>
          </w:p>
        </w:tc>
        <w:tc>
          <w:tcPr>
            <w:tcW w:type="dxa" w:w="576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Instala las librerías sin caché para reducir el tamaño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COPY . .</w:t>
            </w:r>
          </w:p>
        </w:tc>
        <w:tc>
          <w:tcPr>
            <w:tcW w:type="dxa" w:w="5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Copia el código fuente del proyecto</w:t>
            </w:r>
          </w:p>
        </w:tc>
      </w:tr>
      <w:tr>
        <w:tc>
          <w:tcPr>
            <w:tcW w:type="dxa" w:w="36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RUN python entrenar_modelo.py</w:t>
            </w:r>
          </w:p>
        </w:tc>
        <w:tc>
          <w:tcPr>
            <w:tcW w:type="dxa" w:w="576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Entrena y genera model.pkl dentro de la imagen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EXPOSE 5000</w:t>
            </w:r>
          </w:p>
        </w:tc>
        <w:tc>
          <w:tcPr>
            <w:tcW w:type="dxa" w:w="5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Expone el puerto del servicio</w:t>
            </w:r>
          </w:p>
        </w:tc>
      </w:tr>
      <w:tr>
        <w:tc>
          <w:tcPr>
            <w:tcW w:type="dxa" w:w="36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HEALTHCHECK</w:t>
            </w:r>
          </w:p>
        </w:tc>
        <w:tc>
          <w:tcPr>
            <w:tcW w:type="dxa" w:w="576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Verifica periódicamente el endpoint /health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CMD gunicorn ... app:app</w:t>
            </w:r>
          </w:p>
        </w:tc>
        <w:tc>
          <w:tcPr>
            <w:tcW w:type="dxa" w:w="5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Comando de arranque del servidor de producción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  <w:color w:val="1F618D"/>
          <w:sz w:val="23"/>
          <w:szCs w:val="23"/>
        </w:rPr>
        <w:t xml:space="preserve">2.5 Construcción y ejecución local del contenedor (comprobado)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</w:rPr>
        <w:t xml:space="preserve">Desde la raíz del proyecto se construye la imagen y se ejecuta el contenedor:</w:t>
      </w:r>
    </w:p>
    <w:p>
      <w:pPr>
        <w:shd w:fill="F4F6F6" w:color="auto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Construir la imagen (el build entrena el modelo)</w:t>
      </w:r>
      <w:r>
        <w:rPr>
          <w:rFonts w:ascii="Consolas" w:cs="Consolas" w:eastAsia="Consolas" w:hAnsi="Consolas"/>
          <w:sz w:val="18"/>
          <w:szCs w:val="18"/>
        </w:rPr>
        <w:br/>
        <w:t xml:space="preserve">docker build -t readmision-api:1.0.0 .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Ejecutar el contenedor</w:t>
      </w:r>
      <w:r>
        <w:rPr>
          <w:rFonts w:ascii="Consolas" w:cs="Consolas" w:eastAsia="Consolas" w:hAnsi="Consolas"/>
          <w:sz w:val="18"/>
          <w:szCs w:val="18"/>
        </w:rPr>
        <w:br/>
        <w:t xml:space="preserve">docker run -d -p 5000:5000 --name readmision-api readmision-api:1.0.0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Verificar el estado del servicio</w:t>
      </w:r>
      <w:r>
        <w:rPr>
          <w:rFonts w:ascii="Consolas" w:cs="Consolas" w:eastAsia="Consolas" w:hAnsi="Consolas"/>
          <w:sz w:val="18"/>
          <w:szCs w:val="18"/>
        </w:rPr>
        <w:br/>
        <w:t xml:space="preserve">curl http://localhost:5000/health</w:t>
      </w:r>
      <w:r>
        <w:rPr>
          <w:rFonts w:ascii="Consolas" w:cs="Consolas" w:eastAsia="Consolas" w:hAnsi="Consolas"/>
          <w:sz w:val="18"/>
          <w:szCs w:val="18"/>
        </w:rPr>
        <w:br/>
        <w:t xml:space="preserve"># -&gt; {"status":"ok","modelo_cargado":true,"version":"1.0.0"}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</w:rPr>
        <w:t xml:space="preserve">La construcción y ejecución se comprobaron con Docker 29.6.1. La imagen se generó correctamente y el contenedor quedó operativo con estado de salud healthy:</w:t>
      </w:r>
    </w:p>
    <w:tbl>
      <w:tblPr>
        <w:tblW w:type="dxa" w:w="9360"/>
        <w:tblBorders>
          <w:top w:val="single" w:color="AAB7B8" w:sz="4"/>
          <w:left w:val="single" w:color="AAB7B8" w:sz="4"/>
          <w:bottom w:val="single" w:color="AAB7B8" w:sz="4"/>
          <w:right w:val="single" w:color="AAB7B8" w:sz="4"/>
          <w:insideH w:val="single" w:color="D5DBDB" w:sz="4"/>
          <w:insideV w:val="single" w:color="D5DBDB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2DA5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Verificación</w:t>
            </w:r>
          </w:p>
        </w:tc>
        <w:tc>
          <w:tcPr>
            <w:tcW w:type="dxa" w:w="5960"/>
            <w:shd w:fill="2DA5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 obtenido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Imagen construida</w:t>
            </w:r>
          </w:p>
        </w:tc>
        <w:tc>
          <w:tcPr>
            <w:tcW w:type="dxa" w:w="59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readmision-api:1.0.0 — 699 MB (build exitoso)</w:t>
            </w:r>
          </w:p>
        </w:tc>
      </w:tr>
      <w:tr>
        <w:tc>
          <w:tcPr>
            <w:tcW w:type="dxa" w:w="3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Contenedor en ejecución</w:t>
            </w:r>
          </w:p>
        </w:tc>
        <w:tc>
          <w:tcPr>
            <w:tcW w:type="dxa" w:w="596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Up (healthy), puerto 0.0.0.0:5000 -&gt; 5000/tcp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Healthcheck del contenedor</w:t>
            </w:r>
          </w:p>
        </w:tc>
        <w:tc>
          <w:tcPr>
            <w:tcW w:type="dxa" w:w="59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healthy</w:t>
            </w:r>
          </w:p>
        </w:tc>
      </w:tr>
      <w:tr>
        <w:tc>
          <w:tcPr>
            <w:tcW w:type="dxa" w:w="3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Servidor de aplicación</w:t>
            </w:r>
          </w:p>
        </w:tc>
        <w:tc>
          <w:tcPr>
            <w:tcW w:type="dxa" w:w="596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gunicorn 23.0.0, 2 workers escuchando en 0.0.0.0:5000</w:t>
            </w:r>
          </w:p>
        </w:tc>
      </w:tr>
    </w:tbl>
    <w:p>
      <w:pPr>
        <w:spacing w:after="120" w:before="60" w:line="276"/>
        <w:jc w:val="both"/>
      </w:pPr>
      <w:r>
        <w:rPr>
          <w:rFonts w:ascii="Calibri" w:cs="Calibri" w:eastAsia="Calibri" w:hAnsi="Calibri"/>
        </w:rPr>
        <w:t xml:space="preserve">Alternativamente, con Docker Compose: docker compose up --build. El contenedor se inicia en segundos, sin arrancar un sistema operativo completo. La evidencia completa se incluye en el Documento de Validación y Pruebas y en la carpeta evidencias/ del repositorio.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618D"/>
          <w:sz w:val="23"/>
          <w:szCs w:val="23"/>
        </w:rPr>
        <w:t xml:space="preserve">2.6 Integración con API y frontend (endpoints)</w:t>
      </w:r>
    </w:p>
    <w:tbl>
      <w:tblPr>
        <w:tblW w:type="dxa" w:w="9360"/>
        <w:tblBorders>
          <w:top w:val="single" w:color="AAB7B8" w:sz="4"/>
          <w:left w:val="single" w:color="AAB7B8" w:sz="4"/>
          <w:bottom w:val="single" w:color="AAB7B8" w:sz="4"/>
          <w:right w:val="single" w:color="AAB7B8" w:sz="4"/>
          <w:insideH w:val="single" w:color="D5DBDB" w:sz="4"/>
          <w:insideV w:val="single" w:color="D5DBDB" w:sz="4"/>
        </w:tblBorders>
      </w:tblPr>
      <w:tblGrid>
        <w:gridCol w:w="1600"/>
        <w:gridCol w:w="2200"/>
        <w:gridCol w:w="5560"/>
      </w:tblGrid>
      <w:tr>
        <w:trPr>
          <w:tblHeader/>
        </w:trPr>
        <w:tc>
          <w:tcPr>
            <w:tcW w:type="dxa" w:w="1600"/>
            <w:shd w:fill="2DA5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2200"/>
            <w:shd w:fill="2DA5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5560"/>
            <w:shd w:fill="2DA5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/</w:t>
            </w:r>
          </w:p>
        </w:tc>
        <w:tc>
          <w:tcPr>
            <w:tcW w:type="dxa" w:w="5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Frontend (formulario web)</w:t>
            </w:r>
          </w:p>
        </w:tc>
      </w:tr>
      <w:tr>
        <w:tc>
          <w:tcPr>
            <w:tcW w:type="dxa" w:w="16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/health</w:t>
            </w:r>
          </w:p>
        </w:tc>
        <w:tc>
          <w:tcPr>
            <w:tcW w:type="dxa" w:w="556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Estado del servicio y del modelo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/metadata</w:t>
            </w:r>
          </w:p>
        </w:tc>
        <w:tc>
          <w:tcPr>
            <w:tcW w:type="dxa" w:w="5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Versión, algoritmo, umbral y variables</w:t>
            </w:r>
          </w:p>
        </w:tc>
      </w:tr>
      <w:tr>
        <w:tc>
          <w:tcPr>
            <w:tcW w:type="dxa" w:w="16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/ejemplos</w:t>
            </w:r>
          </w:p>
        </w:tc>
        <w:tc>
          <w:tcPr>
            <w:tcW w:type="dxa" w:w="556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Casos de ejemplo precargados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/predict</w:t>
            </w:r>
          </w:p>
        </w:tc>
        <w:tc>
          <w:tcPr>
            <w:tcW w:type="dxa" w:w="5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Predicción a partir de 12 variables clínicas</w:t>
            </w:r>
          </w:p>
        </w:tc>
      </w:tr>
    </w:tbl>
    <w:p>
      <w:pPr>
        <w:spacing w:after="120" w:before="60" w:line="276"/>
        <w:jc w:val="both"/>
      </w:pPr>
      <w:r>
        <w:rPr>
          <w:rFonts w:ascii="Calibri" w:cs="Calibri" w:eastAsia="Calibri" w:hAnsi="Calibri"/>
        </w:rPr>
        <w:t xml:space="preserve">Ejemplo de consumo del endpoint de predicción:</w:t>
      </w:r>
    </w:p>
    <w:p>
      <w:pPr>
        <w:shd w:fill="F4F6F6" w:color="auto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curl -X POST http://localhost:5000/predict \</w:t>
      </w:r>
      <w:r>
        <w:rPr>
          <w:rFonts w:ascii="Consolas" w:cs="Consolas" w:eastAsia="Consolas" w:hAnsi="Consolas"/>
          <w:sz w:val="18"/>
          <w:szCs w:val="18"/>
        </w:rPr>
        <w:br/>
        <w:t xml:space="preserve">  -H "Content-Type: application/json" \</w:t>
      </w:r>
      <w:r>
        <w:rPr>
          <w:rFonts w:ascii="Consolas" w:cs="Consolas" w:eastAsia="Consolas" w:hAnsi="Consolas"/>
          <w:sz w:val="18"/>
          <w:szCs w:val="18"/>
        </w:rPr>
        <w:br/>
        <w:t xml:space="preserve">  -d '{"features": [90,15,22,24,9,350,205,48,10,8,0.1,11]}'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Respuesta: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"prediccion": 1,</w:t>
      </w:r>
      <w:r>
        <w:rPr>
          <w:rFonts w:ascii="Consolas" w:cs="Consolas" w:eastAsia="Consolas" w:hAnsi="Consolas"/>
          <w:sz w:val="18"/>
          <w:szCs w:val="18"/>
        </w:rPr>
        <w:br/>
        <w:t xml:space="preserve">  "etiqueta": "Readmitido (alto riesgo)",</w:t>
      </w:r>
      <w:r>
        <w:rPr>
          <w:rFonts w:ascii="Consolas" w:cs="Consolas" w:eastAsia="Consolas" w:hAnsi="Consolas"/>
          <w:sz w:val="18"/>
          <w:szCs w:val="18"/>
        </w:rPr>
        <w:br/>
        <w:t xml:space="preserve">  "probabilidad_readmision": 0.8922,</w:t>
      </w:r>
      <w:r>
        <w:rPr>
          <w:rFonts w:ascii="Consolas" w:cs="Consolas" w:eastAsia="Consolas" w:hAnsi="Consolas"/>
          <w:sz w:val="18"/>
          <w:szCs w:val="18"/>
        </w:rPr>
        <w:br/>
        <w:t xml:space="preserve">  "umbral_aplicado": 0.30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618D"/>
          <w:sz w:val="23"/>
          <w:szCs w:val="23"/>
        </w:rPr>
        <w:t xml:space="preserve">2.7 Estrategia de despliegue en la nube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</w:rPr>
        <w:t xml:space="preserve">El despliegue se realiza bajo un modelo de servicio PaaS (Plataforma como Servicio), en el cual el proveedor gestiona la infraestructura y el usuario se concentra en la aplicación contenerizada. Este modelo ofrece el mejor equilibrio entre control y esfuerzo operativo para publicar la imagen Docker, habilitando escalabilidad automática y actualización continua.</w:t>
      </w:r>
    </w:p>
    <w:tbl>
      <w:tblPr>
        <w:tblW w:type="dxa" w:w="9360"/>
        <w:tblBorders>
          <w:top w:val="single" w:color="AAB7B8" w:sz="4"/>
          <w:left w:val="single" w:color="AAB7B8" w:sz="4"/>
          <w:bottom w:val="single" w:color="AAB7B8" w:sz="4"/>
          <w:right w:val="single" w:color="AAB7B8" w:sz="4"/>
          <w:insideH w:val="single" w:color="D5DBDB" w:sz="4"/>
          <w:insideV w:val="single" w:color="D5DBDB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2DA5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Modelo de servicio</w:t>
            </w:r>
          </w:p>
        </w:tc>
        <w:tc>
          <w:tcPr>
            <w:tcW w:type="dxa" w:w="6360"/>
            <w:shd w:fill="2DA5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 en esta solución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IaaS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Alternativa de mayor control (VM propia con Docker); mayor esfuerzo operativo</w:t>
            </w:r>
          </w:p>
        </w:tc>
      </w:tr>
      <w:tr>
        <w:tc>
          <w:tcPr>
            <w:tcW w:type="dxa" w:w="3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PaaS (elegido)</w:t>
            </w:r>
          </w:p>
        </w:tc>
        <w:tc>
          <w:tcPr>
            <w:tcW w:type="dxa" w:w="636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Publicación directa de la imagen/contenedor con escalado gestionado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SaaS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aplica: la solución es el servicio, no software de terceros</w:t>
            </w:r>
          </w:p>
        </w:tc>
      </w:tr>
      <w:tr>
        <w:tc>
          <w:tcPr>
            <w:tcW w:type="dxa" w:w="3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FaaS</w:t>
            </w:r>
          </w:p>
        </w:tc>
        <w:tc>
          <w:tcPr>
            <w:tcW w:type="dxa" w:w="636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Viable para inferencia por eventos; no ideal por la carga del modelo en memoria</w:t>
            </w:r>
          </w:p>
        </w:tc>
      </w:tr>
    </w:tbl>
    <w:p>
      <w:pPr>
        <w:spacing w:after="120" w:before="60" w:line="276"/>
        <w:jc w:val="both"/>
      </w:pPr>
      <w:r>
        <w:rPr>
          <w:rFonts w:ascii="Calibri" w:cs="Calibri" w:eastAsia="Calibri" w:hAnsi="Calibri"/>
        </w:rPr>
        <w:t xml:space="preserve">Plataformas PaaS compatibles con contenedores: Google Cloud Run, Azure App Service (for Containers), AWS App Runner y Render. Todas parten de la misma imagen Docker, lo que preserva la portabilidad.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618D"/>
          <w:sz w:val="23"/>
          <w:szCs w:val="23"/>
        </w:rPr>
        <w:t xml:space="preserve">2.8 Procedimiento paso a paso (PaaS con contenedor)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Paso 1. Publicar el repositorio en GitHub con el código fuente y el Dockerfile.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Paso 2. Construir y etiquetar la imagen: docker build -t readmision-api:1.0.0 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Paso 3. Autenticarse en el registro de contenedores del proveedor (por ejemplo, gcloud auth / az acr login).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Paso 4. Subir la imagen al registro (docker push &lt;registro&gt;/readmision-api:1.0.0).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Paso 5. Crear el servicio PaaS apuntando a la imagen, definir el puerto 5000 y las variables de entorno.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Paso 6. Desplegar y obtener la URL pública HTTPS del servicio.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Paso 7. Verificar el despliegue consultando /health y ejecutando cliente_api.py contra la URL pública.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</w:rPr>
        <w:t xml:space="preserve">Ejemplo con Google Cloud Run a partir del código fuente (build gestionado):</w:t>
      </w:r>
    </w:p>
    <w:p>
      <w:pPr>
        <w:shd w:fill="F4F6F6" w:color="auto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gcloud run deploy readmision-api \</w:t>
      </w:r>
      <w:r>
        <w:rPr>
          <w:rFonts w:ascii="Consolas" w:cs="Consolas" w:eastAsia="Consolas" w:hAnsi="Consolas"/>
          <w:sz w:val="18"/>
          <w:szCs w:val="18"/>
        </w:rPr>
        <w:br/>
        <w:t xml:space="preserve">  --source . \</w:t>
      </w:r>
      <w:r>
        <w:rPr>
          <w:rFonts w:ascii="Consolas" w:cs="Consolas" w:eastAsia="Consolas" w:hAnsi="Consolas"/>
          <w:sz w:val="18"/>
          <w:szCs w:val="18"/>
        </w:rPr>
        <w:br/>
        <w:t xml:space="preserve">  --port 5000 \</w:t>
      </w:r>
      <w:r>
        <w:rPr>
          <w:rFonts w:ascii="Consolas" w:cs="Consolas" w:eastAsia="Consolas" w:hAnsi="Consolas"/>
          <w:sz w:val="18"/>
          <w:szCs w:val="18"/>
        </w:rPr>
        <w:br/>
        <w:t xml:space="preserve">  --region us-central1 \</w:t>
      </w:r>
      <w:r>
        <w:rPr>
          <w:rFonts w:ascii="Consolas" w:cs="Consolas" w:eastAsia="Consolas" w:hAnsi="Consolas"/>
          <w:sz w:val="18"/>
          <w:szCs w:val="18"/>
        </w:rPr>
        <w:br/>
        <w:t xml:space="preserve">  --allow-unauthenticated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618D"/>
          <w:sz w:val="23"/>
          <w:szCs w:val="23"/>
        </w:rPr>
        <w:t xml:space="preserve">2.9 Monitoreo, escalabilidad y rollback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Monitoreo: el endpoint /health y el HEALTHCHECK del contenedor permiten al orquestador verificar la disponibilidad del servicio.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Escalabilidad: el modelo PaaS escala automáticamente el número de instancias según la demanda; para orquestación avanzada se puede migrar a Kubernetes.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Restauración rápida (rollback): al versionar las imágenes (1.0.0, 1.0.1, …) es posible revertir a una versión anterior de forma inmediata, ideal para CI/CD.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618D"/>
          <w:sz w:val="23"/>
          <w:szCs w:val="23"/>
        </w:rPr>
        <w:t xml:space="preserve">2.10 Documentación técnica: ISO/IEC 23053 y Copilot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</w:rPr>
        <w:t xml:space="preserve">La documentación se estructura conforme a la norma ISO/IEC 23053 (marco del ciclo de vida de sistemas de IA basados en machine learning), que exige un propósito documentado, un proceso de diseño controlado, actividades de verificación y validación, supervisión operativa y una estrategia de fin de vida útil. La separación entre el entrenamiento offline (entrenar_modelo.py) y el uso del modelo (app.py) responde directamente a este marco.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</w:rPr>
        <w:t xml:space="preserve">Como acelerador de la redacción técnica se emplean herramientas de IA generativa (por ejemplo, Microsoft Copilot o Claude), que permiten generar plantillas, runbooks, listas de verificación y procedimientos reproducibles de forma rápida, estructurada y con nivel profesional, documentando no solo el entrenamiento sino también la operación, el monitoreo y el mantenimiento.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3. Conclusiones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</w:rPr>
        <w:t xml:space="preserve">La contenerización con Docker resuelve el problema central planteado: garantizar un comportamiento estable y reproducible del modelo al migrar entre entornos. Al empaquetar el modelo junto con su código, dependencias y entorno de ejecución en una imagen estandarizada, se eliminan las inconsistencias derivadas de diferencias de versiones y configuraciones.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</w:rPr>
        <w:t xml:space="preserve">La integración frontend-backend mediante una API REST habilita un consumo funcional, escalable y seguro del modelo, mientras que la estrategia de despliegue en la nube bajo un modelo PaaS aporta portabilidad, escalabilidad automática y capacidad de restauración rápida. En conjunto, el proyecto demuestra el tránsito completo de un modelo experimental hacia una solución operativa, documentada y alineada con estándares internacionales.</w:t>
      </w:r>
    </w:p>
    <w:p>
      <w:pPr>
        <w:pStyle w:val="Heading1"/>
        <w:spacing w:after="60" w:before="240"/>
      </w:pPr>
      <w:r>
        <w:rPr>
          <w:rFonts w:ascii="Calibri" w:cs="Calibri" w:eastAsia="Calibri" w:hAnsi="Calibri"/>
          <w:b/>
          <w:bCs/>
          <w:color w:val="1A5276"/>
          <w:sz w:val="32"/>
          <w:szCs w:val="32"/>
        </w:rPr>
        <w:t xml:space="preserve">Referencias Bibliográficas</w:t>
      </w:r>
    </w:p>
    <w:p>
      <w:pPr>
        <w:pBdr>
          <w:bottom w:val="single" w:color="2DA546" w:sz="8" w:space="1"/>
        </w:pBd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80" w:line="276"/>
        <w:ind w:left="720" w:hanging="72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Banerjee, I. (2024). Dockerizing Your Machine Learning Model: A Step-by-Step Guide. https://medium.com/@indradumnabanerjee/dockerizing-your-machine-learning-model-a-step-by-step-guide-12e92f8c960e</w:t>
      </w:r>
    </w:p>
    <w:p>
      <w:pPr>
        <w:spacing w:after="80" w:before="80" w:line="276"/>
        <w:ind w:left="720" w:hanging="72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China, C., y Goodwin, M. (s.f.). IaaS, PaaS, SaaS: ¿cuál es la diferencia? IBM. https://www.ibm.com/mx-es/think/topics/iaas-paas-saas</w:t>
      </w:r>
    </w:p>
    <w:p>
      <w:pPr>
        <w:spacing w:after="80" w:before="80" w:line="276"/>
        <w:ind w:left="720" w:hanging="72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Docker. (s.f.). The Industry-Leading Container Runtime. https://www.docker.com/products/container-runtime/</w:t>
      </w:r>
    </w:p>
    <w:p>
      <w:pPr>
        <w:spacing w:after="80" w:before="80" w:line="276"/>
        <w:ind w:left="720" w:hanging="72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Red Hat. (2026). Docker: qué es, cómo funciona y sus ventajas. https://www.redhat.com/es/topics/containers/what-is-docker</w:t>
      </w:r>
    </w:p>
    <w:p>
      <w:pPr>
        <w:spacing w:after="80" w:before="80" w:line="276"/>
        <w:ind w:left="720" w:hanging="72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SG Systems. (2025). ISO/IEC 23053 — Marco del ciclo de vida del sistema de IA. https://sgsystemsglobal.com/es/glosario/</w:t>
      </w:r>
    </w:p>
    <w:p>
      <w:pPr>
        <w:spacing w:after="80" w:before="80" w:line="276"/>
        <w:ind w:left="720" w:hanging="72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Susnjara, S., y Smalley, I. (s.f.). ¿Qué son los contenedores? IBM. https://www.ibm.com/mx-es/think/topics/containers</w:t>
      </w:r>
    </w:p>
    <w:p>
      <w:pPr>
        <w:spacing w:after="80" w:before="80" w:line="276"/>
        <w:ind w:left="720" w:hanging="72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The Postman Team. (2023). What are the components of an API? https://blog.postman.com/what-are-the-components-of-an-api/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A546" w:sz="4" w:space="4"/>
      </w:pBdr>
      <w:jc w:val="center"/>
    </w:pPr>
    <w:r>
      <w:rPr>
        <w:rFonts w:ascii="Calibri" w:cs="Calibri" w:eastAsia="Calibri" w:hAnsi="Calibri"/>
        <w:color w:val="555555"/>
        <w:sz w:val="16"/>
        <w:szCs w:val="16"/>
      </w:rPr>
      <w:t xml:space="preserve">Fase II — Gestión de Proyectos de IA — 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2DA54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ff0c18347814da054840ad61314a4bbcc28893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2026-07-12T22:20:15.350Z</dcterms:created>
  <dcterms:modified xsi:type="dcterms:W3CDTF">2026-07-12T22:20:15.350Z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