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Manual de Usuario para Colaboradores</w:t>
      </w:r>
    </w:p>
    <w:p>
      <w:pPr>
        <w:pStyle w:val="Heading2"/>
        <w:spacing w:lineRule="auto"/>
      </w:pPr>
      <w:r>
        <w:rPr/>
        <w:t xml:space="preserve">Sistema de Gestión de Inventario y Solicitudes</w:t>
      </w:r>
    </w:p>
    <w:p>
      <w:pPr>
        <w:spacing w:lineRule="auto"/>
      </w:pPr>
      <w:r>
        <w:rPr/>
        <w:t xml:space="preserve">Este manual describe el funcionamiento del panel de colaboradores y explica paso a paso cómo visualizar tus bienes asignados, consultar tu historial y realizar solicitudes generales o reportes de incidentes.</w:t>
      </w:r>
    </w:p>
    <w:p>
      <w:pPr>
        <w:pStyle w:val="Heading2"/>
        <w:spacing w:lineRule="auto"/>
      </w:pPr>
      <w:r>
        <w:rPr/>
        <w:t xml:space="preserve">1. Acceso al Sistema</w:t>
      </w:r>
    </w:p>
    <w:p>
      <w:pPr>
        <w:spacing w:lineRule="auto"/>
      </w:pPr>
      <w:r>
        <w:rPr/>
        <w:t xml:space="preserve">El acceso al sistema está unificado con las credenciales de red (Active Directory / LDAP).</w:t>
      </w:r>
    </w:p>
    <w:p>
      <w:pPr>
        <w:numPr>
          <w:ilvl w:val="0"/>
          <w:numId w:val="1"/>
        </w:numPr>
        <w:spacing w:lineRule="auto"/>
      </w:pPr>
      <w:r>
        <w:rPr/>
        <w:t xml:space="preserve">Ingresa a la URL de la aplicación: </w:t>
      </w:r>
      <w:r>
        <w:rPr/>
        <w:t xml:space="preserve">http://localhost:4200/</w:t>
      </w:r>
    </w:p>
    <w:p>
      <w:pPr>
        <w:numPr>
          <w:ilvl w:val="0"/>
          <w:numId w:val="1"/>
        </w:numPr>
        <w:spacing w:lineRule="auto"/>
      </w:pPr>
      <w:r>
        <w:rPr/>
        <w:t xml:space="preserve">En la pantalla de inicio de sesión, introduce tu </w:t>
      </w:r>
      <w:r>
        <w:rPr>
          <w:b/>
        </w:rPr>
        <w:t xml:space="preserve">Legajo</w:t>
      </w:r>
      <w:r>
        <w:rPr/>
        <w:t xml:space="preserve"> (usuario de red) y tu </w:t>
      </w:r>
      <w:r>
        <w:rPr>
          <w:b/>
        </w:rPr>
        <w:t xml:space="preserve">Contraseña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Haz clic en </w:t>
      </w:r>
      <w:r>
        <w:rPr>
          <w:b/>
        </w:rPr>
        <w:t xml:space="preserve">Ingresar</w:t>
      </w:r>
      <w:r>
        <w:rPr/>
        <w:t xml:space="preserve">.</w:t>
      </w:r>
    </w:p>
    <w:p>
      <w:pPr>
        <w:spacing w:lineRule="auto"/>
      </w:pPr>
      <w:r>
        <w:rPr/>
        <w:drawing>
          <wp:inline distB="0" distL="0" distR="0" distT="0">
            <wp:extent cx="5486400" cy="3643313"/>
            <wp:effectExtent b="0" l="0" r="0" t="0"/>
            <wp:docPr id="2" name="image-wJpBcKzG1_2m2bJlE6rBG.png"/>
            <a:graphic>
              <a:graphicData uri="http://schemas.openxmlformats.org/drawingml/2006/picture">
                <pic:pic>
                  <pic:nvPicPr>
                    <pic:cNvPr id="2" name="image-wJpBcKzG1_2m2bJlE6rBG.png" descr="Pantalla de Inicio de Sesión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2. Visualización de Bienes y Asignaciones Activas</w:t>
      </w:r>
    </w:p>
    <w:p>
      <w:pPr>
        <w:spacing w:lineRule="auto"/>
      </w:pPr>
      <w:r>
        <w:rPr/>
        <w:t xml:space="preserve">Una vez dentro del sistema, accederás a la vista </w:t>
      </w:r>
      <w:r>
        <w:rPr>
          <w:b/>
        </w:rPr>
        <w:t xml:space="preserve">Mis Asignaciones</w:t>
      </w:r>
      <w:r>
        <w:rPr/>
        <w:t xml:space="preserve">, que organiza tus pertenencias según su Dominio (ej. Notebooks, Celulares, etc.) usando un diseño intuitivo de </w:t>
      </w:r>
      <w:r>
        <w:rPr>
          <w:b/>
        </w:rPr>
        <w:t xml:space="preserve">solapas de carpeta</w:t>
      </w:r>
      <w:r>
        <w:rPr/>
        <w:t xml:space="preserve">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Selección de Dominio (Menú de Solapas)</w:t>
      </w:r>
      <w:r>
        <w:rPr/>
        <w:t xml:space="preserve">: En la parte superior verás solapas con los nombres e iconos de cada dominio. Haz clic sobre cualquiera para filtrar las asignaciones y acciones de ese dominio.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Doble Fondo Estructural</w:t>
      </w:r>
      <w:r>
        <w:rPr/>
        <w:t xml:space="preserve">: </w:t>
      </w:r>
    </w:p>
    <w:p>
      <w:pPr>
        <w:numPr>
          <w:ilvl w:val="1"/>
          <w:numId w:val="3"/>
        </w:numPr>
        <w:spacing w:lineRule="auto"/>
      </w:pPr>
      <w:r>
        <w:rPr/>
        <w:t xml:space="preserve">La sección superior (tarjeta de color gris/pizarra </w:t>
      </w:r>
      <w:r>
        <w:rPr/>
        <w:t xml:space="preserve">#e2e8f0</w:t>
      </w:r>
      <w:r>
        <w:rPr/>
        <w:t xml:space="preserve">) contiene tus bienes activos.</w:t>
      </w:r>
    </w:p>
    <w:p>
      <w:pPr>
        <w:numPr>
          <w:ilvl w:val="1"/>
          <w:numId w:val="3"/>
        </w:numPr>
        <w:spacing w:lineRule="auto"/>
      </w:pPr>
      <w:r>
        <w:rPr/>
        <w:t xml:space="preserve">La sección inferior (tarjeta de color lavanda </w:t>
      </w:r>
      <w:r>
        <w:rPr/>
        <w:t xml:space="preserve">#ede9fe</w:t>
      </w:r>
      <w:r>
        <w:rPr/>
        <w:t xml:space="preserve">) contiene tus solicitudes y reportes.</w:t>
      </w:r>
    </w:p>
    <w:p>
      <w:pPr>
        <w:spacing w:lineRule="auto"/>
      </w:pPr>
      <w:r>
        <w:rPr/>
        <w:drawing>
          <wp:inline distB="0" distL="0" distR="0" distT="0">
            <wp:extent cx="5486400" cy="3643313"/>
            <wp:effectExtent b="0" l="0" r="0" t="0"/>
            <wp:docPr id="4" name="image-lf8Xpk4UwRsv4z_04F-t4.png"/>
            <a:graphic>
              <a:graphicData uri="http://schemas.openxmlformats.org/drawingml/2006/picture">
                <pic:pic>
                  <pic:nvPicPr>
                    <pic:cNvPr id="4" name="image-lf8Xpk4UwRsv4z_04F-t4.png" descr="Panel de Asignaciones y Solapas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Consultar Conjuntos (Agrupadores) y Artículos</w:t>
      </w:r>
    </w:p>
    <w:p>
      <w:pPr>
        <w:spacing w:lineRule="auto"/>
      </w:pPr>
      <w:r>
        <w:rPr/>
        <w:t xml:space="preserve">Dentro del bloque gris superior podrás:</w:t>
      </w:r>
    </w:p>
    <w:p>
      <w:pPr>
        <w:numPr>
          <w:ilvl w:val="0"/>
          <w:numId w:val="4"/>
        </w:numPr>
        <w:spacing w:lineRule="auto"/>
      </w:pPr>
      <w:r>
        <w:rPr/>
        <w:t xml:space="preserve">Ver estadísticas rápidas (total de conjuntos y artículos).</w:t>
      </w:r>
    </w:p>
    <w:p>
      <w:pPr>
        <w:numPr>
          <w:ilvl w:val="0"/>
          <w:numId w:val="4"/>
        </w:numPr>
        <w:spacing w:lineRule="auto"/>
      </w:pPr>
      <w:r>
        <w:rPr/>
        <w:t xml:space="preserve">Desplegar conjuntos (</w:t>
      </w:r>
      <w:r>
        <w:rPr>
          <w:b/>
        </w:rPr>
        <w:t xml:space="preserve">Agrupadores</w:t>
      </w:r>
      <w:r>
        <w:rPr/>
        <w:t xml:space="preserve">) haciendo clic sobre su cabecera para ver los componentes vinculados (ej. Mouse, Cargador, etc.).</w:t>
      </w:r>
    </w:p>
    <w:p>
      <w:pPr>
        <w:numPr>
          <w:ilvl w:val="0"/>
          <w:numId w:val="4"/>
        </w:numPr>
        <w:spacing w:lineRule="auto"/>
      </w:pPr>
      <w:r>
        <w:rPr/>
        <w:t xml:space="preserve">Listar artículos asignados de forma directa en la tabla inferior.</w:t>
      </w:r>
    </w:p>
    <w:p>
      <w:pPr>
        <w:pStyle w:val="Heading2"/>
        <w:spacing w:lineRule="auto"/>
      </w:pPr>
      <w:r>
        <w:rPr/>
        <w:t xml:space="preserve">3. Historial de Bienes Devueltos</w:t>
      </w:r>
    </w:p>
    <w:p>
      <w:pPr>
        <w:spacing w:lineRule="auto"/>
      </w:pPr>
      <w:r>
        <w:rPr/>
        <w:t xml:space="preserve">Para no ocupar espacio innecesario, el historial se encuentra colapsado de forma predeterminada dentro del contenedor gris de inventario.</w:t>
      </w:r>
    </w:p>
    <w:p>
      <w:pPr>
        <w:numPr>
          <w:ilvl w:val="0"/>
          <w:numId w:val="5"/>
        </w:numPr>
        <w:spacing w:lineRule="auto"/>
      </w:pPr>
      <w:r>
        <w:rPr/>
        <w:t xml:space="preserve">Haz clic sobre la cabecera </w:t>
      </w:r>
      <w:r>
        <w:rPr>
          <w:b/>
        </w:rPr>
        <w:t xml:space="preserve">Historial de bienes devueltos</w:t>
      </w:r>
      <w:r>
        <w:rPr/>
        <w:t xml:space="preserve"> (marcada con una flecha </w:t>
      </w:r>
      <w:r>
        <w:rPr/>
        <w:t xml:space="preserve">&gt;</w:t>
      </w:r>
      <w:r>
        <w:rPr/>
        <w:t xml:space="preserve">).</w:t>
      </w:r>
    </w:p>
    <w:p>
      <w:pPr>
        <w:numPr>
          <w:ilvl w:val="0"/>
          <w:numId w:val="5"/>
        </w:numPr>
        <w:spacing w:lineRule="auto"/>
      </w:pPr>
      <w:r>
        <w:rPr/>
        <w:t xml:space="preserve">El panel se desplegará revelando la tabla histórica de todas tus devoluciones en el dominio seleccionado (con fechas de entrega, devolución y observaciones asociadas).</w:t>
      </w:r>
    </w:p>
    <w:p>
      <w:pPr>
        <w:spacing w:lineRule="auto"/>
      </w:pPr>
      <w:r>
        <w:rPr/>
        <w:drawing>
          <wp:inline distB="0" distL="0" distR="0" distT="0">
            <wp:extent cx="5486400" cy="3643313"/>
            <wp:effectExtent b="0" l="0" r="0" t="0"/>
            <wp:docPr id="6" name="image-l9rDpWOuxR8UWvUYWOrya.png"/>
            <a:graphic>
              <a:graphicData uri="http://schemas.openxmlformats.org/drawingml/2006/picture">
                <pic:pic>
                  <pic:nvPicPr>
                    <pic:cNvPr id="6" name="image-l9rDpWOuxR8UWvUYWOrya.png" descr="Historial de Devoluciones Desplegado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4. Acciones Rápidas (Solicitudes de Dominio)</w:t>
      </w:r>
    </w:p>
    <w:p>
      <w:pPr>
        <w:spacing w:lineRule="auto"/>
      </w:pPr>
      <w:r>
        <w:rPr/>
        <w:t xml:space="preserve">La barra de acciones rápidas (índigo) está directamente unida al menú de solapas. Te permite crear solicitudes específicas para el dominio activo:</w:t>
      </w:r>
    </w:p>
    <w:p>
      <w:pPr>
        <w:pStyle w:val="Heading3"/>
        <w:spacing w:lineRule="auto"/>
      </w:pPr>
      <w:r>
        <w:rPr/>
        <w:t xml:space="preserve">A. Reportar Rotura (Incidentes)</w:t>
      </w:r>
    </w:p>
    <w:p>
      <w:pPr>
        <w:numPr>
          <w:ilvl w:val="0"/>
          <w:numId w:val="6"/>
        </w:numPr>
        <w:spacing w:lineRule="auto"/>
      </w:pPr>
      <w:r>
        <w:rPr/>
        <w:t xml:space="preserve">Haz clic en </w:t>
      </w:r>
      <w:r>
        <w:rPr>
          <w:b/>
        </w:rPr>
        <w:t xml:space="preserve">Reportar Rotura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/>
        <w:t xml:space="preserve">Selecciona el artículo dañado de la lista desplegable (solo se listarán tus bienes del dominio activo).</w:t>
      </w:r>
    </w:p>
    <w:p>
      <w:pPr>
        <w:numPr>
          <w:ilvl w:val="0"/>
          <w:numId w:val="6"/>
        </w:numPr>
        <w:spacing w:lineRule="auto"/>
      </w:pPr>
      <w:r>
        <w:rPr/>
        <w:t xml:space="preserve">Describe el motivo o detalle del daño (ej. "La pantalla parpadea").</w:t>
      </w:r>
    </w:p>
    <w:p>
      <w:pPr>
        <w:numPr>
          <w:ilvl w:val="0"/>
          <w:numId w:val="6"/>
        </w:numPr>
        <w:spacing w:lineRule="auto"/>
      </w:pPr>
      <w:r>
        <w:rPr/>
        <w:t xml:space="preserve">Haz clic en </w:t>
      </w:r>
      <w:r>
        <w:rPr>
          <w:b/>
        </w:rPr>
        <w:t xml:space="preserve">Enviar Reporte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B. Solicitar Insumo (Falta de Stock)</w:t>
      </w:r>
    </w:p>
    <w:p>
      <w:pPr>
        <w:numPr>
          <w:ilvl w:val="0"/>
          <w:numId w:val="7"/>
        </w:numPr>
        <w:spacing w:lineRule="auto"/>
      </w:pPr>
      <w:r>
        <w:rPr/>
        <w:t xml:space="preserve">Haz clic en </w:t>
      </w:r>
      <w:r>
        <w:rPr>
          <w:b/>
        </w:rPr>
        <w:t xml:space="preserve">Solicitar Insumo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/>
        <w:t xml:space="preserve">Selecciona la categoría de insumos necesaria y especifica la cantidad.</w:t>
      </w:r>
    </w:p>
    <w:p>
      <w:pPr>
        <w:numPr>
          <w:ilvl w:val="0"/>
          <w:numId w:val="7"/>
        </w:numPr>
        <w:spacing w:lineRule="auto"/>
      </w:pPr>
      <w:r>
        <w:rPr/>
        <w:t xml:space="preserve">Escribe una breve justificación del pedido.</w:t>
      </w:r>
    </w:p>
    <w:p>
      <w:pPr>
        <w:numPr>
          <w:ilvl w:val="0"/>
          <w:numId w:val="7"/>
        </w:numPr>
        <w:spacing w:lineRule="auto"/>
      </w:pPr>
      <w:r>
        <w:rPr/>
        <w:t xml:space="preserve">Presiona </w:t>
      </w:r>
      <w:r>
        <w:rPr>
          <w:b/>
        </w:rPr>
        <w:t xml:space="preserve">Enviar Solicitud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C. Préstamo Temporal</w:t>
      </w:r>
    </w:p>
    <w:p>
      <w:pPr>
        <w:numPr>
          <w:ilvl w:val="0"/>
          <w:numId w:val="8"/>
        </w:numPr>
        <w:spacing w:lineRule="auto"/>
      </w:pPr>
      <w:r>
        <w:rPr/>
        <w:t xml:space="preserve">Haz clic en </w:t>
      </w:r>
      <w:r>
        <w:rPr>
          <w:b/>
        </w:rPr>
        <w:t xml:space="preserve">Préstamo Temporal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Selecciona la categoría y define la </w:t>
      </w:r>
      <w:r>
        <w:rPr>
          <w:b/>
        </w:rPr>
        <w:t xml:space="preserve">Fecha de Inicio</w:t>
      </w:r>
      <w:r>
        <w:rPr/>
        <w:t xml:space="preserve"> y la </w:t>
      </w:r>
      <w:r>
        <w:rPr>
          <w:b/>
        </w:rPr>
        <w:t xml:space="preserve">Fecha de Fin</w:t>
      </w:r>
      <w:r>
        <w:rPr/>
        <w:t xml:space="preserve"> del préstamo.</w:t>
      </w:r>
    </w:p>
    <w:p>
      <w:pPr>
        <w:numPr>
          <w:ilvl w:val="0"/>
          <w:numId w:val="8"/>
        </w:numPr>
        <w:spacing w:lineRule="auto"/>
      </w:pPr>
      <w:r>
        <w:rPr/>
        <w:t xml:space="preserve">Completa los motivos y presiona </w:t>
      </w:r>
      <w:r>
        <w:rPr>
          <w:b/>
        </w:rPr>
        <w:t xml:space="preserve">Enviar Solicitud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5. Mantenimiento y Soporte General (Sin Dominio)</w:t>
      </w:r>
    </w:p>
    <w:p>
      <w:pPr>
        <w:spacing w:lineRule="auto"/>
      </w:pPr>
      <w:r>
        <w:rPr/>
        <w:t xml:space="preserve">Si necesitas reportar un incidente edilicio (ej. inodoro roto, cerrajería) o solicitar un bien que no está clasificado en los dominios habituales, utiliza la bandeja de soporte:</w:t>
      </w:r>
    </w:p>
    <w:p>
      <w:pPr>
        <w:numPr>
          <w:ilvl w:val="0"/>
          <w:numId w:val="9"/>
        </w:numPr>
        <w:spacing w:lineRule="auto"/>
      </w:pPr>
      <w:r>
        <w:rPr/>
        <w:t xml:space="preserve">Haz clic en el botón superior derecho: </w:t>
      </w:r>
      <w:r>
        <w:rPr>
          <w:b/>
        </w:rPr>
        <w:t xml:space="preserve">"Solicitud General / Soporte"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/>
        <w:t xml:space="preserve">Completa el campo </w:t>
      </w:r>
      <w:r>
        <w:rPr>
          <w:b/>
        </w:rPr>
        <w:t xml:space="preserve">Concepto / Reporte</w:t>
      </w:r>
      <w:r>
        <w:rPr/>
        <w:t xml:space="preserve"> (ej. "Inodoro roto en 2do piso").</w:t>
      </w:r>
    </w:p>
    <w:p>
      <w:pPr>
        <w:numPr>
          <w:ilvl w:val="0"/>
          <w:numId w:val="9"/>
        </w:numPr>
        <w:spacing w:lineRule="auto"/>
      </w:pPr>
      <w:r>
        <w:rPr/>
        <w:t xml:space="preserve">Detalla el motivo o justificación de soporte.</w:t>
      </w:r>
    </w:p>
    <w:p>
      <w:pPr>
        <w:numPr>
          <w:ilvl w:val="0"/>
          <w:numId w:val="9"/>
        </w:numPr>
        <w:spacing w:lineRule="auto"/>
      </w:pPr>
      <w:r>
        <w:rPr/>
        <w:t xml:space="preserve">Haz clic en </w:t>
      </w:r>
      <w:r>
        <w:rPr>
          <w:b/>
        </w:rPr>
        <w:t xml:space="preserve">Enviar Solicitud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/>
        <w:t xml:space="preserve">Podrás realizar el seguimiento de estos tickets al pie de la página, en la sección </w:t>
      </w:r>
      <w:r>
        <w:rPr>
          <w:b/>
        </w:rPr>
        <w:t xml:space="preserve">Mantenimiento y Soporte General</w:t>
      </w:r>
      <w:r>
        <w:rPr/>
        <w:t xml:space="preserve"> (bloque lavanda).</w:t>
      </w:r>
    </w:p>
    <w:p>
      <w:pPr>
        <w:spacing w:lineRule="auto"/>
      </w:pPr>
      <w:r>
        <w:rPr/>
        <w:drawing>
          <wp:inline distB="0" distL="0" distR="0" distT="0">
            <wp:extent cx="5486400" cy="3643313"/>
            <wp:effectExtent b="0" l="0" r="0" t="0"/>
            <wp:docPr id="8" name="image-91Lq9vzDez-nwOSi9UDH7.png"/>
            <a:graphic>
              <a:graphicData uri="http://schemas.openxmlformats.org/drawingml/2006/picture">
                <pic:pic>
                  <pic:nvPicPr>
                    <pic:cNvPr id="8" name="image-91Lq9vzDez-nwOSi9UDH7.png" descr="Bandeja de Soporte General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y1CWro4Kjisg4l1ugWrxW.png" TargetMode="Internal"/>
  <Relationship Id="rId7" Type="http://schemas.openxmlformats.org/officeDocument/2006/relationships/image" Target="media/image-wJpBcKzG1_2m2bJlE6rBG.png" TargetMode="Internal"/>
  <Relationship Id="rId8" Type="http://schemas.openxmlformats.org/officeDocument/2006/relationships/image" Target="media/image-P1s_8qw46qYXyST4I4_JK.png" TargetMode="Internal"/>
  <Relationship Id="rId9" Type="http://schemas.openxmlformats.org/officeDocument/2006/relationships/image" Target="media/image-lf8Xpk4UwRsv4z_04F-t4.png" TargetMode="Internal"/>
  <Relationship Id="rId10" Type="http://schemas.openxmlformats.org/officeDocument/2006/relationships/image" Target="media/image-Qvfr9T8x_Zy1wNG46vSpv.png" TargetMode="Internal"/>
  <Relationship Id="rId11" Type="http://schemas.openxmlformats.org/officeDocument/2006/relationships/image" Target="media/image-l9rDpWOuxR8UWvUYWOrya.png" TargetMode="Internal"/>
  <Relationship Id="rId12" Type="http://schemas.openxmlformats.org/officeDocument/2006/relationships/image" Target="media/image-jS7hhtSm41dwAKWCWn2tm.png" TargetMode="Internal"/>
  <Relationship Id="rId13" Type="http://schemas.openxmlformats.org/officeDocument/2006/relationships/image" Target="media/image-91Lq9vzDez-nwOSi9UDH7.png" TargetMode="Internal"/>
  <Relationship Id="rId14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Colaboradores</dc:title>
  <dc:subject/>
  <dc:creator>Antigravity AI</dc:creator>
  <cp:keywords>html-to-docx</cp:keywords>
  <dc:description>Manual de Usuario para Colaboradores - Sistema de Gestión de Inventario</dc:description>
  <cp:lastModifiedBy>html-to-docx</cp:lastModifiedBy>
  <cp:revision>1</cp:revision>
  <dcterms:created xsi:type="dcterms:W3CDTF">2026-08-06T20:10:00.403Z</dcterms:created>
  <dcterms:modified xsi:type="dcterms:W3CDTF">2026-08-06T20:10:00.403Z</dcterms:modified>
</cp:coreProperties>
</file>