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RESTRICCIONES DEL PROYECTO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5FA3"/>
          <w:sz w:val="26"/>
          <w:szCs w:val="26"/>
        </w:rPr>
        <w:t xml:space="preserve">Limitaciones Técnicas, Legales y Contractuales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CSW-IA-2025-001 | SYSTEC S.A.S. — SOSTEC S.A.S.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Restricciones Tecnológicas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Solo se usarán tecnologías autorizadas en el Anexo C del Contrato CSW-IA-2025-001. El uso de cualquier tecnología no listada requiere aprobación escrita previa del Supervisor del CONTRATANTE.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212"/>
        <w:gridCol w:w="2808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Categoría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Restricción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Consecuencia del incumplimiento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Lenguajes y frameworks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Python 3.9+, Java 17+, Node 18+ LTS y frameworks del Anexo C.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5% del valor del contrato por incidente (Cláusula Novena).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I.A. externa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sensibles del CONTRATANTE no pueden enviarse a APIs externas sin autorización; preferir modelos on-premise.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Terminación inmediata + indemnización por daños.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cloud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Servicios fuera de Colombia requieren autorización explícita; cumplir Ley 1581/2012.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5% + posible terminación del contrato.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Dispositivos (BYOD)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 permite uso de equipos personales para acceder a información confidencial del CONTRATANTE.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+ terminación por incumplimiento de confidencialidad.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externo</w:t>
            </w:r>
          </w:p>
        </w:tc>
        <w:tc>
          <w:tcPr>
            <w:tcW w:type="dxa" w:w="4212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USB/HDD externos solo con cifrado AES-256 y autorización escrita previa.</w:t>
            </w:r>
          </w:p>
        </w:tc>
        <w:tc>
          <w:tcPr>
            <w:tcW w:type="dxa" w:w="2808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 + reporte de incidente de seguridad obligatorio.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Restricciones Legales y Regulatorias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39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Restricción específica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1581/2012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Protección de datos personales procesados en el sistema.</w:t>
            </w:r>
          </w:p>
        </w:tc>
        <w:tc>
          <w:tcPr>
            <w:tcW w:type="dxa" w:w="39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PII solo con autorización; no transferir al exterior sin aprobación.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1273/2009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Seguridad del sistema; delitos informáticos.</w:t>
            </w:r>
          </w:p>
        </w:tc>
        <w:tc>
          <w:tcPr>
            <w:tcW w:type="dxa" w:w="39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Obligatorio implementar controles de seguridad; violaciones son delito penal.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527/1999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Validez de documentos electrónicos generados.</w:t>
            </w:r>
          </w:p>
        </w:tc>
        <w:tc>
          <w:tcPr>
            <w:tcW w:type="dxa" w:w="39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digitales deben cumplir requisitos de la ley de comercio electrónico.</w:t>
            </w:r>
          </w:p>
        </w:tc>
      </w:tr>
      <w:tr>
        <w:tc>
          <w:tcPr>
            <w:tcW w:type="dxa" w:w="23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23/1982</w:t>
            </w:r>
          </w:p>
        </w:tc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Derechos de autor sobre el software producido.</w:t>
            </w:r>
          </w:p>
        </w:tc>
        <w:tc>
          <w:tcPr>
            <w:tcW w:type="dxa" w:w="390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 código es propiedad del CONTRATANTE por cesión irrevocable (Cláusula Quinta).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Restricciones de Alcance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alcance está fijado en el contrato; cambios requieren Formato de Gestión de Cambios aprobado por escrito.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Prórroga del plazo: solo por mutuo acuerdo, una vez, máximo 30 días adicionales.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CONTRATISTA no puede ceder ni subcontratar sin autorización escrita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se desarrollan aplicaciones móviles nativas; solo testing en dispositivos móviles.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Restricciones de Seguridad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MFA obligatorio en todos los accesos al sistema y entornos de desarrollo.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VPN corporativa obligatoria para acceso remoto a sistemas del CONTRATANTE.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Separación estricta de entornos: Desarrollo, QA/Staging y Producción.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Actualizaciones de seguridad del SO con máximo 30 días de retraso permitido.</w:t>
      </w:r>
    </w:p>
    <w:p>
      <w:pPr>
        <w:spacing w:after="80" w:before="8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Restricciones de Recursos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Recurso</w:t>
            </w:r>
          </w:p>
        </w:tc>
        <w:tc>
          <w:tcPr>
            <w:tcW w:type="dxa" w:w="62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Presupuesto</w:t>
            </w:r>
          </w:p>
        </w:tc>
        <w:tc>
          <w:tcPr>
            <w:tcW w:type="dxa" w:w="62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fijo: 0.000.000 COP. Costos adicionales solo con modificación contractual firmada.</w:t>
            </w:r>
          </w:p>
        </w:tc>
      </w:tr>
      <w:tr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Tiempo</w:t>
            </w:r>
          </w:p>
        </w:tc>
        <w:tc>
          <w:tcPr>
            <w:tcW w:type="dxa" w:w="62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meses calendario (01/05/2026 — 01/11/2026). Prórroga máxima: 30 días por mutuo acuerdo.</w:t>
            </w:r>
          </w:p>
        </w:tc>
      </w:tr>
      <w:tr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</w:t>
            </w:r>
          </w:p>
        </w:tc>
        <w:tc>
          <w:tcPr>
            <w:tcW w:type="dxa" w:w="62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CONTRATISTA debe mantener equipo calificado; no puede reemplazar personal clave sin notificación.</w:t>
            </w:r>
          </w:p>
        </w:tc>
      </w:tr>
      <w:tr>
        <w:tc>
          <w:tcPr>
            <w:tcW w:type="dxa" w:w="312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AABBCC" w:sz="4"/>
              <w:left w:val="single" w:color="AABBCC" w:sz="4"/>
              <w:bottom w:val="single" w:color="AABBCC" w:sz="4"/>
              <w:right w:val="single" w:color="AABBCC" w:sz="4"/>
            </w:tcBorders>
            <w:shd w:fill="F2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Equipos mínimo Intel Core i7/AMD Ryzen 7, RAM 16 GB, SSD 512 GB (Anexo C).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2026-06-04T11:03:54.753Z</dcterms:created>
  <dcterms:modified xsi:type="dcterms:W3CDTF">2026-06-04T11:03:54.753Z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