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6CD1" w14:textId="6585F813" w:rsidR="00F91908" w:rsidRPr="00F91908" w:rsidRDefault="00F91908" w:rsidP="00F91908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91908">
        <w:rPr>
          <w:rFonts w:ascii="Arial" w:hAnsi="Arial" w:cs="Arial"/>
          <w:b/>
          <w:bCs/>
          <w:sz w:val="24"/>
          <w:szCs w:val="24"/>
        </w:rPr>
        <w:t>TALLER N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F91908">
        <w:rPr>
          <w:rFonts w:ascii="Arial" w:hAnsi="Arial" w:cs="Arial"/>
          <w:b/>
          <w:bCs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3</w:t>
      </w:r>
    </w:p>
    <w:p w14:paraId="26BB72C8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002F2905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2C45476F" w14:textId="77777777" w:rsidR="00F91908" w:rsidRPr="00F91908" w:rsidRDefault="00F91908" w:rsidP="00F9190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8D24404" w14:textId="77777777" w:rsidR="00F91908" w:rsidRPr="00F91908" w:rsidRDefault="00F91908" w:rsidP="00F9190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91908">
        <w:rPr>
          <w:rFonts w:ascii="Arial" w:hAnsi="Arial" w:cs="Arial"/>
          <w:sz w:val="24"/>
          <w:szCs w:val="24"/>
        </w:rPr>
        <w:t>Brayan Andres Cañas León</w:t>
      </w:r>
      <w:r w:rsidRPr="00F91908">
        <w:rPr>
          <w:rFonts w:ascii="Arial" w:hAnsi="Arial" w:cs="Arial"/>
          <w:sz w:val="24"/>
          <w:szCs w:val="24"/>
        </w:rPr>
        <w:br/>
        <w:t xml:space="preserve"> Sebastian Niño Forero</w:t>
      </w:r>
    </w:p>
    <w:p w14:paraId="35883BC0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668F69D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3C9B1E9" w14:textId="77777777" w:rsidR="00F91908" w:rsidRPr="00F91908" w:rsidRDefault="00F91908" w:rsidP="00F9190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BB1F6C" w14:textId="77777777" w:rsidR="00F91908" w:rsidRPr="00F91908" w:rsidRDefault="00F91908" w:rsidP="00F91908">
      <w:pPr>
        <w:jc w:val="center"/>
        <w:rPr>
          <w:rFonts w:ascii="Arial" w:hAnsi="Arial" w:cs="Arial"/>
          <w:sz w:val="24"/>
          <w:szCs w:val="24"/>
        </w:rPr>
      </w:pPr>
      <w:r w:rsidRPr="00F91908">
        <w:rPr>
          <w:rFonts w:ascii="Arial" w:hAnsi="Arial" w:cs="Arial"/>
          <w:sz w:val="24"/>
          <w:szCs w:val="24"/>
        </w:rPr>
        <w:t>ELIECER MONTERO OJEDA</w:t>
      </w:r>
      <w:r w:rsidRPr="00F91908">
        <w:rPr>
          <w:rFonts w:ascii="Arial" w:hAnsi="Arial" w:cs="Arial"/>
          <w:sz w:val="24"/>
          <w:szCs w:val="24"/>
        </w:rPr>
        <w:br/>
        <w:t>Docente</w:t>
      </w:r>
    </w:p>
    <w:p w14:paraId="44B13BAA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5E4AC2E5" w14:textId="77777777" w:rsidR="00F91908" w:rsidRPr="00F91908" w:rsidRDefault="00F91908" w:rsidP="00F91908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7523B8BC" w14:textId="77777777" w:rsidR="00F91908" w:rsidRPr="00F91908" w:rsidRDefault="00F91908" w:rsidP="00F9190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672F390" w14:textId="77777777" w:rsidR="00F91908" w:rsidRPr="00F91908" w:rsidRDefault="00F91908" w:rsidP="00F9190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2F6D17A" w14:textId="77777777" w:rsidR="00F91908" w:rsidRPr="00F91908" w:rsidRDefault="00F91908" w:rsidP="00F9190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91908">
        <w:rPr>
          <w:rFonts w:ascii="Arial" w:hAnsi="Arial" w:cs="Arial"/>
          <w:sz w:val="24"/>
          <w:szCs w:val="24"/>
        </w:rPr>
        <w:t>Unidades Tecnológicas De Santander</w:t>
      </w:r>
      <w:r w:rsidRPr="00F91908">
        <w:rPr>
          <w:rFonts w:ascii="Arial" w:hAnsi="Arial" w:cs="Arial"/>
          <w:sz w:val="24"/>
          <w:szCs w:val="24"/>
        </w:rPr>
        <w:br/>
        <w:t>Facultad De Ciencias Naturales e Ingenierías</w:t>
      </w:r>
      <w:r w:rsidRPr="00F91908">
        <w:rPr>
          <w:rFonts w:ascii="Arial" w:hAnsi="Arial" w:cs="Arial"/>
          <w:sz w:val="24"/>
          <w:szCs w:val="24"/>
        </w:rPr>
        <w:br/>
        <w:t>Bucaramanga/Colombia</w:t>
      </w:r>
      <w:r w:rsidRPr="00F91908">
        <w:rPr>
          <w:rFonts w:ascii="Arial" w:hAnsi="Arial" w:cs="Arial"/>
          <w:sz w:val="24"/>
          <w:szCs w:val="24"/>
        </w:rPr>
        <w:br/>
        <w:t>2026-1</w:t>
      </w:r>
    </w:p>
    <w:p w14:paraId="5A95BE66" w14:textId="77777777" w:rsidR="00F91908" w:rsidRDefault="00F91908" w:rsidP="00F91908">
      <w:pPr>
        <w:spacing w:line="360" w:lineRule="auto"/>
        <w:jc w:val="center"/>
        <w:rPr>
          <w:rFonts w:ascii="Arial" w:hAnsi="Arial" w:cs="Arial"/>
        </w:rPr>
      </w:pPr>
    </w:p>
    <w:p w14:paraId="10FDE2D9" w14:textId="77777777" w:rsidR="00F91908" w:rsidRPr="0023749C" w:rsidRDefault="00F91908" w:rsidP="00F91908">
      <w:pPr>
        <w:spacing w:line="360" w:lineRule="auto"/>
        <w:jc w:val="center"/>
        <w:rPr>
          <w:rFonts w:ascii="Arial" w:hAnsi="Arial" w:cs="Arial"/>
        </w:rPr>
      </w:pPr>
    </w:p>
    <w:p w14:paraId="41CEFA08" w14:textId="77777777" w:rsidR="00F91908" w:rsidRDefault="00F91908" w:rsidP="00F91908"/>
    <w:p w14:paraId="60CDC4AC" w14:textId="77777777" w:rsidR="00557003" w:rsidRPr="007517FA" w:rsidRDefault="00557003" w:rsidP="007517FA">
      <w:pPr>
        <w:pStyle w:val="Ttulo4"/>
        <w:spacing w:line="360" w:lineRule="auto"/>
        <w:ind w:firstLine="709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Problema Inicial</w:t>
      </w:r>
    </w:p>
    <w:p w14:paraId="50FEE7CE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 xml:space="preserve">En el proyecto "Sistema Bancario Core" se identificaron varios componentes que deben ser </w:t>
      </w:r>
      <w:r w:rsidRPr="007517FA">
        <w:rPr>
          <w:rStyle w:val="Textoennegrita"/>
          <w:rFonts w:ascii="Arial" w:eastAsiaTheme="majorEastAsia" w:hAnsi="Arial" w:cs="Arial"/>
          <w:color w:val="000000" w:themeColor="text1"/>
        </w:rPr>
        <w:t>únicos y consistentes</w:t>
      </w:r>
      <w:r w:rsidRPr="007517FA">
        <w:rPr>
          <w:rFonts w:ascii="Arial" w:hAnsi="Arial" w:cs="Arial"/>
          <w:color w:val="000000" w:themeColor="text1"/>
        </w:rPr>
        <w:t xml:space="preserve"> en toda la aplicación:</w:t>
      </w:r>
    </w:p>
    <w:p w14:paraId="5E0FA433" w14:textId="77777777" w:rsidR="00557003" w:rsidRPr="007517FA" w:rsidRDefault="00557003" w:rsidP="007517F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Límites AML, reglas de detección de fraude (frecuencia, ventana de tiempo, saldo crítico).</w:t>
      </w:r>
    </w:p>
    <w:p w14:paraId="191B149E" w14:textId="77777777" w:rsidR="00557003" w:rsidRPr="007517FA" w:rsidRDefault="00557003" w:rsidP="007517F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Lista oficial de sucursales.</w:t>
      </w:r>
    </w:p>
    <w:p w14:paraId="3EF2ADF1" w14:textId="77777777" w:rsidR="00557003" w:rsidRPr="007517FA" w:rsidRDefault="00557003" w:rsidP="007517F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Registro centralizado de eventos (logs de transacciones, fraudes y errores).</w:t>
      </w:r>
    </w:p>
    <w:p w14:paraId="7F07C765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Inicialmente estos valores estaban hardcodeados o duplicados en varias clases (detector_fraude.py, transaccion.py, banco.py). Esto generaba:</w:t>
      </w:r>
    </w:p>
    <w:p w14:paraId="68796D84" w14:textId="77777777" w:rsidR="00557003" w:rsidRPr="007517FA" w:rsidRDefault="00557003" w:rsidP="007517F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Inconsistencias si se modificaba un valor en un lugar y no en otro.</w:t>
      </w:r>
    </w:p>
    <w:p w14:paraId="156B5CAA" w14:textId="77777777" w:rsidR="00557003" w:rsidRPr="007517FA" w:rsidRDefault="00557003" w:rsidP="007517F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Código difícil de mantener (violación de SRP y OCP).</w:t>
      </w:r>
    </w:p>
    <w:p w14:paraId="52CE94F6" w14:textId="77777777" w:rsidR="00557003" w:rsidRPr="007517FA" w:rsidRDefault="00557003" w:rsidP="007517F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Posibilidad de múltiples instancias con configuraciones distintas.</w:t>
      </w:r>
    </w:p>
    <w:p w14:paraId="5A358BD7" w14:textId="262D5F2E" w:rsidR="00557003" w:rsidRPr="007517FA" w:rsidRDefault="00557003" w:rsidP="007517FA">
      <w:pPr>
        <w:pStyle w:val="Ttulo4"/>
        <w:spacing w:line="360" w:lineRule="auto"/>
        <w:ind w:firstLine="709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b/>
          <w:bCs/>
          <w:color w:val="000000" w:themeColor="text1"/>
          <w:sz w:val="24"/>
          <w:szCs w:val="24"/>
        </w:rPr>
        <w:t>La solución: Patrón Singleton</w:t>
      </w:r>
    </w:p>
    <w:p w14:paraId="53429537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Style w:val="Textoennegrita"/>
          <w:rFonts w:ascii="Arial" w:eastAsiaTheme="majorEastAsia" w:hAnsi="Arial" w:cs="Arial"/>
          <w:color w:val="000000" w:themeColor="text1"/>
        </w:rPr>
        <w:t>Definición formal</w:t>
      </w:r>
      <w:r w:rsidRPr="007517FA">
        <w:rPr>
          <w:rFonts w:ascii="Arial" w:hAnsi="Arial" w:cs="Arial"/>
          <w:color w:val="000000" w:themeColor="text1"/>
        </w:rPr>
        <w:t xml:space="preserve"> El patrón Singleton garantiza que una clase tenga exactamente una instancia y proporciona un punto de acceso global a ella.</w:t>
      </w:r>
    </w:p>
    <w:p w14:paraId="465698A6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Style w:val="Textoennegrita"/>
          <w:rFonts w:ascii="Arial" w:eastAsiaTheme="majorEastAsia" w:hAnsi="Arial" w:cs="Arial"/>
          <w:color w:val="000000" w:themeColor="text1"/>
        </w:rPr>
        <w:t>Relación con SOLID</w:t>
      </w:r>
    </w:p>
    <w:p w14:paraId="032AFBE3" w14:textId="77777777" w:rsidR="00557003" w:rsidRPr="007517FA" w:rsidRDefault="00557003" w:rsidP="007517F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Single Responsibility Principle (SRP)</w:t>
      </w:r>
      <w:r w:rsidRPr="007517FA">
        <w:rPr>
          <w:rFonts w:ascii="Arial" w:hAnsi="Arial" w:cs="Arial"/>
          <w:color w:val="000000" w:themeColor="text1"/>
          <w:sz w:val="24"/>
          <w:szCs w:val="24"/>
        </w:rPr>
        <w:t>: Singleton asume la responsabilidad de controlar su propia instanciación.</w:t>
      </w:r>
    </w:p>
    <w:p w14:paraId="230DF64E" w14:textId="77777777" w:rsidR="00557003" w:rsidRPr="007517FA" w:rsidRDefault="00557003" w:rsidP="007517F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Open/Closed Principle (OCP)</w:t>
      </w:r>
      <w:r w:rsidRPr="007517FA">
        <w:rPr>
          <w:rFonts w:ascii="Arial" w:hAnsi="Arial" w:cs="Arial"/>
          <w:color w:val="000000" w:themeColor="text1"/>
          <w:sz w:val="24"/>
          <w:szCs w:val="24"/>
        </w:rPr>
        <w:t>: Facilita centralizar cambios sin modificar múltiples clases.</w:t>
      </w:r>
    </w:p>
    <w:p w14:paraId="69AEC2B6" w14:textId="77777777" w:rsidR="00557003" w:rsidRPr="007517FA" w:rsidRDefault="00557003" w:rsidP="007517FA">
      <w:pPr>
        <w:pStyle w:val="Ttulo3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lastRenderedPageBreak/>
        <w:t>Estructura y Variantes de Implementación</w:t>
      </w:r>
    </w:p>
    <w:p w14:paraId="7070AFAF" w14:textId="77777777" w:rsidR="00557003" w:rsidRPr="007517FA" w:rsidRDefault="00557003" w:rsidP="007517FA">
      <w:pPr>
        <w:pStyle w:val="Ttulo4"/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Estructura Canónica</w:t>
      </w:r>
    </w:p>
    <w:p w14:paraId="2E10B82C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Componentes principales:</w:t>
      </w:r>
    </w:p>
    <w:p w14:paraId="52764387" w14:textId="77777777" w:rsidR="00557003" w:rsidRPr="007517FA" w:rsidRDefault="00557003" w:rsidP="007517F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Atributo estático privado _instancia.</w:t>
      </w:r>
    </w:p>
    <w:p w14:paraId="1E098031" w14:textId="77777777" w:rsidR="00557003" w:rsidRPr="007517FA" w:rsidRDefault="00557003" w:rsidP="007517F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Constructor privado (evita creación externa).</w:t>
      </w:r>
    </w:p>
    <w:p w14:paraId="6D878BB9" w14:textId="77777777" w:rsidR="00557003" w:rsidRPr="007517FA" w:rsidRDefault="00557003" w:rsidP="007517F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Método estático get_instancia() que crea la instancia si no existe y la retorna.</w:t>
      </w:r>
    </w:p>
    <w:p w14:paraId="040833B1" w14:textId="77777777" w:rsidR="00557003" w:rsidRPr="007517FA" w:rsidRDefault="00557003" w:rsidP="007517FA">
      <w:pPr>
        <w:pStyle w:val="Ttulo4"/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Variantes Implementadas</w:t>
      </w:r>
    </w:p>
    <w:p w14:paraId="49B3CDF7" w14:textId="77777777" w:rsidR="00557003" w:rsidRPr="007517FA" w:rsidRDefault="00557003" w:rsidP="007517FA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Lazy Initialization + Thread-Safe con Lock</w:t>
      </w:r>
      <w:r w:rsidRPr="007517FA">
        <w:rPr>
          <w:rFonts w:ascii="Arial" w:hAnsi="Arial" w:cs="Arial"/>
          <w:color w:val="000000" w:themeColor="text1"/>
          <w:sz w:val="24"/>
          <w:szCs w:val="24"/>
        </w:rPr>
        <w:t xml:space="preserve"> (la usada en el proyecto)</w:t>
      </w:r>
    </w:p>
    <w:p w14:paraId="11F14D35" w14:textId="77777777" w:rsidR="00557003" w:rsidRPr="007517FA" w:rsidRDefault="00557003" w:rsidP="007517FA">
      <w:pPr>
        <w:numPr>
          <w:ilvl w:val="1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Creación bajo demanda (lazy).</w:t>
      </w:r>
    </w:p>
    <w:p w14:paraId="712BA0E0" w14:textId="77777777" w:rsidR="00557003" w:rsidRPr="007517FA" w:rsidRDefault="00557003" w:rsidP="007517FA">
      <w:pPr>
        <w:numPr>
          <w:ilvl w:val="1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Thread-safe mediante threading.Lock.</w:t>
      </w:r>
    </w:p>
    <w:p w14:paraId="31C79B2D" w14:textId="77777777" w:rsidR="00557003" w:rsidRPr="007517FA" w:rsidRDefault="00557003" w:rsidP="007517FA">
      <w:pPr>
        <w:numPr>
          <w:ilvl w:val="1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Recomendada para Python por su flexibilidad y seguridad.</w:t>
      </w:r>
    </w:p>
    <w:p w14:paraId="5198D31B" w14:textId="77777777" w:rsidR="00557003" w:rsidRPr="007517FA" w:rsidRDefault="00557003" w:rsidP="007517FA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Enum Singleton</w:t>
      </w:r>
      <w:r w:rsidRPr="007517FA">
        <w:rPr>
          <w:rFonts w:ascii="Arial" w:hAnsi="Arial" w:cs="Arial"/>
          <w:color w:val="000000" w:themeColor="text1"/>
          <w:sz w:val="24"/>
          <w:szCs w:val="24"/>
        </w:rPr>
        <w:t xml:space="preserve"> (alternativa recomendada por Bloch – no usada aquí)</w:t>
      </w:r>
    </w:p>
    <w:p w14:paraId="6EE790C4" w14:textId="77777777" w:rsidR="00557003" w:rsidRPr="007517FA" w:rsidRDefault="00557003" w:rsidP="007517FA">
      <w:pPr>
        <w:numPr>
          <w:ilvl w:val="1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Garantizada por la JVM/Python (no necesita lock).</w:t>
      </w:r>
    </w:p>
    <w:p w14:paraId="44A9A6DD" w14:textId="77777777" w:rsidR="00557003" w:rsidRPr="007517FA" w:rsidRDefault="00557003" w:rsidP="007517FA">
      <w:pPr>
        <w:numPr>
          <w:ilvl w:val="1"/>
          <w:numId w:val="6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Más simple, pero menos flexible (no hereda).</w:t>
      </w:r>
    </w:p>
    <w:p w14:paraId="2B06B5C1" w14:textId="77777777" w:rsidR="00557003" w:rsidRPr="008236C2" w:rsidRDefault="00557003" w:rsidP="007517FA">
      <w:pPr>
        <w:pStyle w:val="Ttulo3"/>
        <w:spacing w:line="360" w:lineRule="auto"/>
        <w:ind w:firstLine="709"/>
        <w:rPr>
          <w:rFonts w:ascii="Arial" w:hAnsi="Arial" w:cs="Arial"/>
          <w:b/>
          <w:bCs/>
          <w:color w:val="000000" w:themeColor="text1"/>
        </w:rPr>
      </w:pPr>
      <w:r w:rsidRPr="008236C2">
        <w:rPr>
          <w:rFonts w:ascii="Arial" w:hAnsi="Arial" w:cs="Arial"/>
          <w:b/>
          <w:bCs/>
          <w:color w:val="000000" w:themeColor="text1"/>
        </w:rPr>
        <w:t>Implementación Paso a Paso en el Proyecto</w:t>
      </w:r>
    </w:p>
    <w:p w14:paraId="3B7780F5" w14:textId="77777777" w:rsidR="00557003" w:rsidRPr="007517FA" w:rsidRDefault="00557003" w:rsidP="007517FA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Identificar componentes globales</w:t>
      </w:r>
    </w:p>
    <w:p w14:paraId="729B1AA8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Configuración (límites AML, reglas de fraude, sucursales).</w:t>
      </w:r>
    </w:p>
    <w:p w14:paraId="435A8F33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Detector de fraude (reglas únicas).</w:t>
      </w:r>
    </w:p>
    <w:p w14:paraId="04346E39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Logger (registro central).</w:t>
      </w:r>
    </w:p>
    <w:p w14:paraId="6A753A40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Gestor de sucursales (lista oficial).</w:t>
      </w:r>
    </w:p>
    <w:p w14:paraId="2E489646" w14:textId="77777777" w:rsidR="00557003" w:rsidRPr="007517FA" w:rsidRDefault="00557003" w:rsidP="007517FA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Crear clase Singleton</w:t>
      </w:r>
    </w:p>
    <w:p w14:paraId="31B9B9EC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Constructor privado implícito.</w:t>
      </w:r>
    </w:p>
    <w:p w14:paraId="3D1E58F1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lastRenderedPageBreak/>
        <w:t>_instancia y _lock estáticos.</w:t>
      </w:r>
    </w:p>
    <w:p w14:paraId="5046F6F5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get_instancia() con double-check locking.</w:t>
      </w:r>
    </w:p>
    <w:p w14:paraId="4D7CF3F0" w14:textId="77777777" w:rsidR="00557003" w:rsidRPr="007517FA" w:rsidRDefault="00557003" w:rsidP="007517FA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Centralizar valores</w:t>
      </w:r>
    </w:p>
    <w:p w14:paraId="4DA71D59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Mover hardcodeados a la clase Singleton.</w:t>
      </w:r>
    </w:p>
    <w:p w14:paraId="1F1DAD09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Acceder siempre vía get_instancia().</w:t>
      </w:r>
    </w:p>
    <w:p w14:paraId="5083F39B" w14:textId="77777777" w:rsidR="00557003" w:rsidRPr="007517FA" w:rsidRDefault="00557003" w:rsidP="007517FA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Refactorizar clases consumidoras</w:t>
      </w:r>
    </w:p>
    <w:p w14:paraId="71256A21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Reemplazar hardcodeados por llamadas a Singleton.</w:t>
      </w:r>
    </w:p>
    <w:p w14:paraId="4365789D" w14:textId="77777777" w:rsidR="00557003" w:rsidRPr="007517FA" w:rsidRDefault="00557003" w:rsidP="007517FA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Style w:val="Textoennegrita"/>
          <w:rFonts w:ascii="Arial" w:hAnsi="Arial" w:cs="Arial"/>
          <w:color w:val="000000" w:themeColor="text1"/>
          <w:sz w:val="24"/>
          <w:szCs w:val="24"/>
        </w:rPr>
        <w:t>Probar</w:t>
      </w:r>
    </w:p>
    <w:p w14:paraId="26D0E5FE" w14:textId="77777777" w:rsidR="00557003" w:rsidRPr="007517FA" w:rsidRDefault="00557003" w:rsidP="007517FA">
      <w:pPr>
        <w:numPr>
          <w:ilvl w:val="1"/>
          <w:numId w:val="7"/>
        </w:numPr>
        <w:spacing w:before="100" w:beforeAutospacing="1" w:after="100" w:afterAutospacing="1"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color w:val="000000" w:themeColor="text1"/>
          <w:sz w:val="24"/>
          <w:szCs w:val="24"/>
        </w:rPr>
        <w:t>Cambiar un valor en Singleton → verificar que afecta todo el sistema.</w:t>
      </w:r>
    </w:p>
    <w:p w14:paraId="36710580" w14:textId="67F6CAAE" w:rsidR="00557003" w:rsidRPr="003F727C" w:rsidRDefault="00557003" w:rsidP="007517FA">
      <w:pPr>
        <w:pStyle w:val="Ttulo3"/>
        <w:spacing w:line="360" w:lineRule="auto"/>
        <w:ind w:firstLine="709"/>
        <w:rPr>
          <w:rFonts w:ascii="Arial" w:hAnsi="Arial" w:cs="Arial"/>
          <w:b/>
          <w:bCs/>
          <w:color w:val="000000" w:themeColor="text1"/>
        </w:rPr>
      </w:pPr>
      <w:r w:rsidRPr="003F727C">
        <w:rPr>
          <w:rFonts w:ascii="Arial" w:hAnsi="Arial" w:cs="Arial"/>
          <w:b/>
          <w:bCs/>
          <w:color w:val="000000" w:themeColor="text1"/>
        </w:rPr>
        <w:t>¿En qué partes del proyecto se implementó Singleton?</w:t>
      </w:r>
    </w:p>
    <w:tbl>
      <w:tblPr>
        <w:tblW w:w="0" w:type="auto"/>
        <w:tblCellSpacing w:w="15" w:type="dxa"/>
        <w:tblInd w:w="-4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44"/>
        <w:gridCol w:w="3260"/>
        <w:gridCol w:w="3168"/>
      </w:tblGrid>
      <w:tr w:rsidR="007517FA" w:rsidRPr="007517FA" w14:paraId="178C4166" w14:textId="77777777" w:rsidTr="007517FA">
        <w:trPr>
          <w:tblHeader/>
          <w:tblCellSpacing w:w="15" w:type="dxa"/>
        </w:trPr>
        <w:tc>
          <w:tcPr>
            <w:tcW w:w="747" w:type="dxa"/>
            <w:vAlign w:val="center"/>
            <w:hideMark/>
          </w:tcPr>
          <w:p w14:paraId="59BD6B0F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#</w:t>
            </w:r>
          </w:p>
        </w:tc>
        <w:tc>
          <w:tcPr>
            <w:tcW w:w="2014" w:type="dxa"/>
            <w:vAlign w:val="center"/>
            <w:hideMark/>
          </w:tcPr>
          <w:p w14:paraId="52C0F6F0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Clase / Componente</w:t>
            </w:r>
          </w:p>
        </w:tc>
        <w:tc>
          <w:tcPr>
            <w:tcW w:w="3230" w:type="dxa"/>
            <w:vAlign w:val="center"/>
            <w:hideMark/>
          </w:tcPr>
          <w:p w14:paraId="4FCE42E2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¿Por qué Singleton aquí?</w:t>
            </w:r>
          </w:p>
        </w:tc>
        <w:tc>
          <w:tcPr>
            <w:tcW w:w="3123" w:type="dxa"/>
            <w:vAlign w:val="center"/>
            <w:hideMark/>
          </w:tcPr>
          <w:p w14:paraId="36E8AEF2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Beneficio concreto en el proyecto</w:t>
            </w:r>
          </w:p>
        </w:tc>
      </w:tr>
      <w:tr w:rsidR="007517FA" w:rsidRPr="007517FA" w14:paraId="5C17329A" w14:textId="77777777" w:rsidTr="007517FA">
        <w:trPr>
          <w:tblCellSpacing w:w="15" w:type="dxa"/>
        </w:trPr>
        <w:tc>
          <w:tcPr>
            <w:tcW w:w="747" w:type="dxa"/>
            <w:vAlign w:val="center"/>
            <w:hideMark/>
          </w:tcPr>
          <w:p w14:paraId="7AB5A477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2014" w:type="dxa"/>
            <w:vAlign w:val="center"/>
            <w:hideMark/>
          </w:tcPr>
          <w:p w14:paraId="25737533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ConfigBanco</w:t>
            </w:r>
          </w:p>
        </w:tc>
        <w:tc>
          <w:tcPr>
            <w:tcW w:w="3230" w:type="dxa"/>
            <w:vAlign w:val="center"/>
            <w:hideMark/>
          </w:tcPr>
          <w:p w14:paraId="5963E4B1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Límites AML, reglas de fraude y sucursales son globales y deben ser consistentes.</w:t>
            </w:r>
          </w:p>
        </w:tc>
        <w:tc>
          <w:tcPr>
            <w:tcW w:w="3123" w:type="dxa"/>
            <w:vAlign w:val="center"/>
            <w:hideMark/>
          </w:tcPr>
          <w:p w14:paraId="684938DC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Cambios centralizados (ej. límite AML) afectan todo sin duplicar código.</w:t>
            </w:r>
          </w:p>
        </w:tc>
      </w:tr>
      <w:tr w:rsidR="007517FA" w:rsidRPr="007517FA" w14:paraId="67DEE5AD" w14:textId="77777777" w:rsidTr="007517FA">
        <w:trPr>
          <w:tblCellSpacing w:w="15" w:type="dxa"/>
        </w:trPr>
        <w:tc>
          <w:tcPr>
            <w:tcW w:w="747" w:type="dxa"/>
            <w:vAlign w:val="center"/>
            <w:hideMark/>
          </w:tcPr>
          <w:p w14:paraId="00FD2041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2014" w:type="dxa"/>
            <w:vAlign w:val="center"/>
            <w:hideMark/>
          </w:tcPr>
          <w:p w14:paraId="09CB1D15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DetectorFraude</w:t>
            </w:r>
          </w:p>
        </w:tc>
        <w:tc>
          <w:tcPr>
            <w:tcW w:w="3230" w:type="dxa"/>
            <w:vAlign w:val="center"/>
            <w:hideMark/>
          </w:tcPr>
          <w:p w14:paraId="50275C56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Reglas de fraude deben aplicarse idénticamente en todas las transacciones.</w:t>
            </w:r>
          </w:p>
        </w:tc>
        <w:tc>
          <w:tcPr>
            <w:tcW w:w="3123" w:type="dxa"/>
            <w:vAlign w:val="center"/>
            <w:hideMark/>
          </w:tcPr>
          <w:p w14:paraId="110E2CF1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Una sola instancia con reglas únicas → fácil actualizar globalmente.</w:t>
            </w:r>
          </w:p>
        </w:tc>
      </w:tr>
      <w:tr w:rsidR="007517FA" w:rsidRPr="007517FA" w14:paraId="2EEBB8A3" w14:textId="77777777" w:rsidTr="007517FA">
        <w:trPr>
          <w:tblCellSpacing w:w="15" w:type="dxa"/>
        </w:trPr>
        <w:tc>
          <w:tcPr>
            <w:tcW w:w="747" w:type="dxa"/>
            <w:vAlign w:val="center"/>
            <w:hideMark/>
          </w:tcPr>
          <w:p w14:paraId="6D1E0CAA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2014" w:type="dxa"/>
            <w:vAlign w:val="center"/>
            <w:hideMark/>
          </w:tcPr>
          <w:p w14:paraId="34D8C866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Logger</w:t>
            </w:r>
          </w:p>
        </w:tc>
        <w:tc>
          <w:tcPr>
            <w:tcW w:w="3230" w:type="dxa"/>
            <w:vAlign w:val="center"/>
            <w:hideMark/>
          </w:tcPr>
          <w:p w14:paraId="7B8CC798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Registro de eventos debe ser centralizado para auditoría y trazabilidad.</w:t>
            </w:r>
          </w:p>
        </w:tc>
        <w:tc>
          <w:tcPr>
            <w:tcW w:w="3123" w:type="dxa"/>
            <w:vAlign w:val="center"/>
            <w:hideMark/>
          </w:tcPr>
          <w:p w14:paraId="62D20A8D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Todos los logs (éxitos, fraudes, errores) en un solo punto.</w:t>
            </w:r>
          </w:p>
        </w:tc>
      </w:tr>
      <w:tr w:rsidR="007517FA" w:rsidRPr="007517FA" w14:paraId="38B44A63" w14:textId="77777777" w:rsidTr="007517FA">
        <w:trPr>
          <w:tblCellSpacing w:w="15" w:type="dxa"/>
        </w:trPr>
        <w:tc>
          <w:tcPr>
            <w:tcW w:w="747" w:type="dxa"/>
            <w:vAlign w:val="center"/>
            <w:hideMark/>
          </w:tcPr>
          <w:p w14:paraId="241710E5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2014" w:type="dxa"/>
            <w:vAlign w:val="center"/>
            <w:hideMark/>
          </w:tcPr>
          <w:p w14:paraId="23EFE634" w14:textId="77777777" w:rsidR="00557003" w:rsidRPr="00557003" w:rsidRDefault="00557003" w:rsidP="007517FA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SucursalesManager</w:t>
            </w:r>
          </w:p>
        </w:tc>
        <w:tc>
          <w:tcPr>
            <w:tcW w:w="3230" w:type="dxa"/>
            <w:vAlign w:val="center"/>
            <w:hideMark/>
          </w:tcPr>
          <w:p w14:paraId="455F1788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Lista oficial de sucursales debe ser única y compartida.</w:t>
            </w:r>
          </w:p>
        </w:tc>
        <w:tc>
          <w:tcPr>
            <w:tcW w:w="3123" w:type="dxa"/>
            <w:vAlign w:val="center"/>
            <w:hideMark/>
          </w:tcPr>
          <w:p w14:paraId="6C16908C" w14:textId="77777777" w:rsidR="00557003" w:rsidRPr="00557003" w:rsidRDefault="00557003" w:rsidP="007517F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57003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:lang w:eastAsia="es-CO"/>
                <w14:ligatures w14:val="none"/>
              </w:rPr>
              <w:t>Agregar sucursales dinámicamente sin modificar múltiples clases.</w:t>
            </w:r>
          </w:p>
        </w:tc>
      </w:tr>
    </w:tbl>
    <w:p w14:paraId="52FE3DA7" w14:textId="77777777" w:rsidR="003F727C" w:rsidRDefault="003F727C" w:rsidP="007517FA">
      <w:pPr>
        <w:pStyle w:val="NormalWeb"/>
        <w:spacing w:line="360" w:lineRule="auto"/>
        <w:ind w:firstLine="709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79EB8DD0" w14:textId="77777777" w:rsidR="003F727C" w:rsidRDefault="003F727C" w:rsidP="007517FA">
      <w:pPr>
        <w:pStyle w:val="NormalWeb"/>
        <w:spacing w:line="360" w:lineRule="auto"/>
        <w:ind w:firstLine="709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33DE1081" w14:textId="7E901E69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b/>
          <w:bCs/>
          <w:i/>
          <w:iCs/>
          <w:color w:val="000000" w:themeColor="text1"/>
        </w:rPr>
      </w:pPr>
      <w:r w:rsidRPr="007517FA">
        <w:rPr>
          <w:rFonts w:ascii="Arial" w:hAnsi="Arial" w:cs="Arial"/>
          <w:b/>
          <w:bCs/>
          <w:i/>
          <w:iCs/>
          <w:color w:val="000000" w:themeColor="text1"/>
        </w:rPr>
        <w:lastRenderedPageBreak/>
        <w:t>Código Base vs. Código con Singleton</w:t>
      </w:r>
    </w:p>
    <w:p w14:paraId="2470304C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DetectorFraude (antes)</w:t>
      </w:r>
    </w:p>
    <w:p w14:paraId="11B85EB1" w14:textId="15ABB5B9" w:rsidR="00BC2C4A" w:rsidRPr="007517FA" w:rsidRDefault="00557003" w:rsidP="007517FA">
      <w:pPr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76746C8" wp14:editId="501358EC">
            <wp:extent cx="5477639" cy="11241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3045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Después (con Singleton)</w:t>
      </w:r>
    </w:p>
    <w:p w14:paraId="72FEABD0" w14:textId="054FE6A8" w:rsidR="00557003" w:rsidRPr="007517FA" w:rsidRDefault="00557003" w:rsidP="007517FA">
      <w:pPr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5507998" wp14:editId="49B15771">
            <wp:extent cx="5612130" cy="244919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A0B9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Transaccion.procesar (antes)</w:t>
      </w:r>
    </w:p>
    <w:p w14:paraId="15B85604" w14:textId="0EB4351A" w:rsidR="00557003" w:rsidRPr="007517FA" w:rsidRDefault="00557003" w:rsidP="007517FA">
      <w:pPr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265DBCC" wp14:editId="08ADE12D">
            <wp:extent cx="5258534" cy="3238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0DA9" w14:textId="77777777" w:rsidR="00557003" w:rsidRPr="007517FA" w:rsidRDefault="00557003" w:rsidP="007517FA">
      <w:pPr>
        <w:pStyle w:val="NormalWeb"/>
        <w:spacing w:line="360" w:lineRule="auto"/>
        <w:ind w:firstLine="709"/>
        <w:rPr>
          <w:rFonts w:ascii="Arial" w:hAnsi="Arial" w:cs="Arial"/>
          <w:color w:val="000000" w:themeColor="text1"/>
        </w:rPr>
      </w:pPr>
      <w:r w:rsidRPr="007517FA">
        <w:rPr>
          <w:rFonts w:ascii="Arial" w:hAnsi="Arial" w:cs="Arial"/>
          <w:color w:val="000000" w:themeColor="text1"/>
        </w:rPr>
        <w:t>Después</w:t>
      </w:r>
    </w:p>
    <w:p w14:paraId="6462B247" w14:textId="25EB4FAC" w:rsidR="00557003" w:rsidRPr="007517FA" w:rsidRDefault="00557003" w:rsidP="007517FA">
      <w:pPr>
        <w:spacing w:line="36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7517FA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F5C51F9" wp14:editId="74CB95D1">
            <wp:extent cx="5612130" cy="2749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003" w:rsidRPr="007517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57F39"/>
    <w:multiLevelType w:val="multilevel"/>
    <w:tmpl w:val="141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92D42"/>
    <w:multiLevelType w:val="multilevel"/>
    <w:tmpl w:val="CC8A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C1147"/>
    <w:multiLevelType w:val="multilevel"/>
    <w:tmpl w:val="E93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92C09"/>
    <w:multiLevelType w:val="multilevel"/>
    <w:tmpl w:val="0CB0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85DC4"/>
    <w:multiLevelType w:val="multilevel"/>
    <w:tmpl w:val="F40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31786"/>
    <w:multiLevelType w:val="multilevel"/>
    <w:tmpl w:val="5134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97C1B"/>
    <w:multiLevelType w:val="multilevel"/>
    <w:tmpl w:val="B682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611351">
    <w:abstractNumId w:val="6"/>
  </w:num>
  <w:num w:numId="2" w16cid:durableId="145630458">
    <w:abstractNumId w:val="4"/>
  </w:num>
  <w:num w:numId="3" w16cid:durableId="142429606">
    <w:abstractNumId w:val="2"/>
  </w:num>
  <w:num w:numId="4" w16cid:durableId="1605772645">
    <w:abstractNumId w:val="0"/>
  </w:num>
  <w:num w:numId="5" w16cid:durableId="1765153839">
    <w:abstractNumId w:val="1"/>
  </w:num>
  <w:num w:numId="6" w16cid:durableId="1027410407">
    <w:abstractNumId w:val="5"/>
  </w:num>
  <w:num w:numId="7" w16cid:durableId="810833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8"/>
    <w:rsid w:val="003F727C"/>
    <w:rsid w:val="004A0121"/>
    <w:rsid w:val="00557003"/>
    <w:rsid w:val="0064219C"/>
    <w:rsid w:val="007517FA"/>
    <w:rsid w:val="007C553D"/>
    <w:rsid w:val="008236C2"/>
    <w:rsid w:val="008F1515"/>
    <w:rsid w:val="00BC2C4A"/>
    <w:rsid w:val="00C96EC8"/>
    <w:rsid w:val="00CC17F9"/>
    <w:rsid w:val="00F9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7AE0"/>
  <w15:chartTrackingRefBased/>
  <w15:docId w15:val="{15E76FDB-B06F-457F-A472-8FE32F74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1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96E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E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0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96EC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96EC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96EC8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E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6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A0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00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niño forero</dc:creator>
  <cp:keywords/>
  <dc:description/>
  <cp:lastModifiedBy>juan sebastian niño forero</cp:lastModifiedBy>
  <cp:revision>5</cp:revision>
  <dcterms:created xsi:type="dcterms:W3CDTF">2026-03-02T02:38:00Z</dcterms:created>
  <dcterms:modified xsi:type="dcterms:W3CDTF">2026-03-02T22:22:00Z</dcterms:modified>
</cp:coreProperties>
</file>