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AC8A" w14:textId="77777777" w:rsidR="00A70531" w:rsidRDefault="00FF4CD5">
      <w:pPr>
        <w:spacing w:after="0" w:line="259" w:lineRule="auto"/>
        <w:ind w:left="21"/>
      </w:pPr>
      <w:r>
        <w:rPr>
          <w:b/>
          <w:sz w:val="22"/>
        </w:rPr>
        <w:t>MODELOS Y BASES DE DATOS</w:t>
      </w:r>
    </w:p>
    <w:p w14:paraId="522F1834" w14:textId="77777777" w:rsidR="00A70531" w:rsidRDefault="00FF4CD5">
      <w:pPr>
        <w:spacing w:after="0" w:line="259" w:lineRule="auto"/>
        <w:ind w:left="21"/>
      </w:pPr>
      <w:r>
        <w:rPr>
          <w:b/>
          <w:sz w:val="22"/>
        </w:rPr>
        <w:t>PL/ SQL Básico</w:t>
      </w:r>
    </w:p>
    <w:p w14:paraId="73C05635" w14:textId="77777777" w:rsidR="00A70531" w:rsidRDefault="00FF4CD5">
      <w:pPr>
        <w:spacing w:after="0" w:line="259" w:lineRule="auto"/>
        <w:ind w:left="21"/>
      </w:pPr>
      <w:r>
        <w:rPr>
          <w:b/>
          <w:sz w:val="22"/>
        </w:rPr>
        <w:t>2020-1</w:t>
      </w:r>
    </w:p>
    <w:p w14:paraId="34B82EDC" w14:textId="77777777" w:rsidR="00A70531" w:rsidRDefault="00FF4CD5">
      <w:pPr>
        <w:spacing w:after="180" w:line="259" w:lineRule="auto"/>
        <w:ind w:left="21"/>
      </w:pPr>
      <w:proofErr w:type="spellStart"/>
      <w:r>
        <w:rPr>
          <w:b/>
          <w:sz w:val="22"/>
        </w:rPr>
        <w:t>Guia</w:t>
      </w:r>
      <w:proofErr w:type="spellEnd"/>
      <w:r>
        <w:rPr>
          <w:b/>
          <w:sz w:val="22"/>
        </w:rPr>
        <w:t xml:space="preserve"> autoestudio 4/6</w:t>
      </w:r>
    </w:p>
    <w:p w14:paraId="18EA6E4A" w14:textId="77777777" w:rsidR="00A70531" w:rsidRDefault="00FF4CD5">
      <w:pPr>
        <w:pStyle w:val="Ttulo1"/>
        <w:spacing w:after="34"/>
        <w:ind w:left="21"/>
      </w:pPr>
      <w:r>
        <w:t>OBJETIVO</w:t>
      </w:r>
    </w:p>
    <w:p w14:paraId="7495C17B" w14:textId="77777777" w:rsidR="00A70531" w:rsidRDefault="00FF4CD5">
      <w:pPr>
        <w:numPr>
          <w:ilvl w:val="0"/>
          <w:numId w:val="1"/>
        </w:numPr>
        <w:ind w:hanging="360"/>
      </w:pPr>
      <w:r>
        <w:t xml:space="preserve">Conocer herramientas que facilitan el trabajo del desarrollador de una base de datos específicamente la herramienta SQL </w:t>
      </w:r>
      <w:proofErr w:type="spellStart"/>
      <w:r>
        <w:t>Developer</w:t>
      </w:r>
      <w:proofErr w:type="spellEnd"/>
    </w:p>
    <w:p w14:paraId="302C7928" w14:textId="0519E243" w:rsidR="00A70531" w:rsidRDefault="00FF4CD5">
      <w:pPr>
        <w:numPr>
          <w:ilvl w:val="0"/>
          <w:numId w:val="1"/>
        </w:numPr>
        <w:spacing w:after="214"/>
        <w:ind w:hanging="360"/>
      </w:pPr>
      <w:r>
        <w:t xml:space="preserve">Desarrollar competencias para definir e implementar restricciones de integridad con mecanismos declarativos y </w:t>
      </w:r>
      <w:r w:rsidR="001C2B56">
        <w:t>procedimentales</w:t>
      </w:r>
      <w:r>
        <w:t xml:space="preserve">. </w:t>
      </w:r>
    </w:p>
    <w:p w14:paraId="3530B58B" w14:textId="77777777" w:rsidR="00A70531" w:rsidRDefault="00FF4CD5">
      <w:pPr>
        <w:pStyle w:val="Ttulo1"/>
        <w:ind w:left="21"/>
      </w:pPr>
      <w:r>
        <w:t xml:space="preserve">TÓPICOS OBJETIVO 2  </w:t>
      </w:r>
    </w:p>
    <w:p w14:paraId="28B17050" w14:textId="77777777" w:rsidR="00A70531" w:rsidRDefault="00FF4CD5">
      <w:pPr>
        <w:numPr>
          <w:ilvl w:val="0"/>
          <w:numId w:val="2"/>
        </w:numPr>
        <w:ind w:hanging="360"/>
      </w:pPr>
      <w:r>
        <w:t>Acciones referenciales</w:t>
      </w:r>
    </w:p>
    <w:p w14:paraId="3A2E663C" w14:textId="77777777" w:rsidR="00A70531" w:rsidRDefault="00FF4CD5">
      <w:pPr>
        <w:numPr>
          <w:ilvl w:val="0"/>
          <w:numId w:val="2"/>
        </w:numPr>
        <w:ind w:hanging="360"/>
      </w:pPr>
      <w:r>
        <w:t>Disparadores</w:t>
      </w:r>
    </w:p>
    <w:p w14:paraId="2114D5FA" w14:textId="77777777" w:rsidR="00A70531" w:rsidRDefault="00FF4CD5">
      <w:pPr>
        <w:numPr>
          <w:ilvl w:val="0"/>
          <w:numId w:val="2"/>
        </w:numPr>
        <w:ind w:hanging="360"/>
      </w:pPr>
      <w:r>
        <w:t>Constantes y variables</w:t>
      </w:r>
    </w:p>
    <w:p w14:paraId="3761AAEB" w14:textId="77777777" w:rsidR="00A70531" w:rsidRDefault="00FF4CD5">
      <w:pPr>
        <w:numPr>
          <w:ilvl w:val="0"/>
          <w:numId w:val="2"/>
        </w:numPr>
        <w:ind w:hanging="360"/>
      </w:pPr>
      <w:r>
        <w:t>Instrucciones básicas: asignación</w:t>
      </w:r>
    </w:p>
    <w:p w14:paraId="38E6BDB5" w14:textId="77777777" w:rsidR="00A70531" w:rsidRDefault="00FF4CD5">
      <w:pPr>
        <w:numPr>
          <w:ilvl w:val="0"/>
          <w:numId w:val="2"/>
        </w:numPr>
        <w:spacing w:after="504"/>
        <w:ind w:hanging="360"/>
      </w:pPr>
      <w:r>
        <w:t>Cursores: implícitos y explícitos</w:t>
      </w:r>
    </w:p>
    <w:p w14:paraId="07089569" w14:textId="77777777" w:rsidR="00A70531" w:rsidRDefault="00FF4CD5">
      <w:pPr>
        <w:spacing w:after="0" w:line="259" w:lineRule="auto"/>
        <w:ind w:left="21"/>
      </w:pPr>
      <w:r>
        <w:rPr>
          <w:b/>
          <w:sz w:val="22"/>
        </w:rPr>
        <w:t>ENTREGA</w:t>
      </w:r>
    </w:p>
    <w:p w14:paraId="6F5889A6" w14:textId="77777777" w:rsidR="00A70531" w:rsidRDefault="00FF4CD5">
      <w:pPr>
        <w:spacing w:after="214" w:line="229" w:lineRule="auto"/>
        <w:ind w:left="26" w:hanging="360"/>
        <w:jc w:val="both"/>
      </w:pPr>
      <w:r>
        <w:rPr>
          <w:sz w:val="22"/>
        </w:rPr>
        <w:t xml:space="preserve">   Publicar las respuestas en el espacio correspondiente en un archivo </w:t>
      </w:r>
      <w:r>
        <w:rPr>
          <w:color w:val="FF0000"/>
          <w:sz w:val="22"/>
        </w:rPr>
        <w:t>.</w:t>
      </w:r>
      <w:proofErr w:type="gramStart"/>
      <w:r>
        <w:rPr>
          <w:color w:val="FF0000"/>
          <w:sz w:val="22"/>
        </w:rPr>
        <w:t xml:space="preserve">zip </w:t>
      </w:r>
      <w:r>
        <w:rPr>
          <w:sz w:val="22"/>
        </w:rPr>
        <w:t>,</w:t>
      </w:r>
      <w:proofErr w:type="gramEnd"/>
      <w:r>
        <w:rPr>
          <w:sz w:val="22"/>
        </w:rPr>
        <w:t xml:space="preserve"> el nombre de este a</w:t>
      </w:r>
      <w:r>
        <w:rPr>
          <w:sz w:val="22"/>
        </w:rPr>
        <w:t>rchivo debe ser la concatenación en orden alfabético de los primeros apellidos de cada uno de los miembros.</w:t>
      </w:r>
    </w:p>
    <w:p w14:paraId="32A5A176" w14:textId="77777777" w:rsidR="00A70531" w:rsidRDefault="00FF4CD5">
      <w:pPr>
        <w:pStyle w:val="Ttulo1"/>
        <w:spacing w:after="33"/>
        <w:ind w:left="21"/>
      </w:pPr>
      <w:r>
        <w:t xml:space="preserve">INVESTIGACIÓN A.  Acciones referenciales </w:t>
      </w:r>
    </w:p>
    <w:p w14:paraId="173004F6" w14:textId="4D09D558" w:rsidR="00A70531" w:rsidRDefault="00FF4CD5">
      <w:pPr>
        <w:numPr>
          <w:ilvl w:val="0"/>
          <w:numId w:val="3"/>
        </w:numPr>
        <w:ind w:hanging="360"/>
      </w:pPr>
      <w:r>
        <w:t xml:space="preserve">¿Para qué sirven las acciones referenciales? </w:t>
      </w:r>
    </w:p>
    <w:p w14:paraId="4072C137" w14:textId="77777777" w:rsidR="001C2B56" w:rsidRDefault="001C2B56" w:rsidP="001C2B56">
      <w:pPr>
        <w:ind w:left="731" w:firstLine="0"/>
      </w:pPr>
      <w:r>
        <w:t>La integridad referencial es propiedad de la base de datos. La misma significa que la clave externa de una tabla de referencia siempre debe aludir a una fila válida de la tabla a la que se haga referencia. La integridad referencial garantiza que la relación entre dos tablas permanezca sincronizada durante las operaciones de actualización y eliminación.</w:t>
      </w:r>
    </w:p>
    <w:p w14:paraId="0D6B3CFD" w14:textId="77777777" w:rsidR="001C2B56" w:rsidRDefault="001C2B56" w:rsidP="001C2B56">
      <w:pPr>
        <w:ind w:left="731" w:firstLine="0"/>
      </w:pPr>
    </w:p>
    <w:p w14:paraId="0D4A62DE" w14:textId="7BA925D6" w:rsidR="001C2B56" w:rsidRDefault="001C2B56" w:rsidP="001C2B56">
      <w:pPr>
        <w:ind w:left="731" w:firstLine="0"/>
      </w:pPr>
      <w:r>
        <w:t>Todas las bases de datos relacionales gozan de esta propiedad gracias a que el software gestor de base de datos vela por su cumplimiento. En cambio, las bases de datos jerárquicas requieren que los programadores se aseguren de mantener tal propiedad en sus programas.</w:t>
      </w:r>
    </w:p>
    <w:p w14:paraId="231D79CE" w14:textId="77777777" w:rsidR="001C2B56" w:rsidRDefault="001C2B56" w:rsidP="001C2B56">
      <w:pPr>
        <w:ind w:left="731" w:firstLine="0"/>
      </w:pPr>
    </w:p>
    <w:p w14:paraId="283B03B9" w14:textId="3CD69F70" w:rsidR="00A70531" w:rsidRDefault="00FF4CD5">
      <w:pPr>
        <w:numPr>
          <w:ilvl w:val="0"/>
          <w:numId w:val="3"/>
        </w:numPr>
        <w:ind w:hanging="360"/>
      </w:pPr>
      <w:r>
        <w:t>¿Qué acciones soporta ORACLE? ¿Qué permite hacer cada una de ellas?</w:t>
      </w:r>
    </w:p>
    <w:p w14:paraId="02386ECE" w14:textId="77777777" w:rsidR="001C2B56" w:rsidRDefault="001C2B56" w:rsidP="001C2B56">
      <w:pPr>
        <w:ind w:left="731" w:firstLine="0"/>
      </w:pPr>
      <w:r>
        <w:t>Los tipos de acciones disponibles se clasifican en dos grupos: las que permiten navegar hasta contenido relacionado y las que llaman a operaciones, funciones o procesos en sistemas externos.</w:t>
      </w:r>
    </w:p>
    <w:p w14:paraId="49FF80AB" w14:textId="77777777" w:rsidR="001C2B56" w:rsidRDefault="001C2B56" w:rsidP="001C2B56">
      <w:pPr>
        <w:ind w:left="731" w:firstLine="0"/>
      </w:pPr>
    </w:p>
    <w:p w14:paraId="10AF7018" w14:textId="6C749805" w:rsidR="001C2B56" w:rsidRDefault="001C2B56" w:rsidP="001C2B56">
      <w:pPr>
        <w:ind w:left="731" w:firstLine="0"/>
      </w:pPr>
      <w:r>
        <w:t xml:space="preserve">Los privilegios determinan qué tipos de acciones se pueden crear. Es posible que solo pueda crear acciones de tipo navegación, únicamente de tipo invocación o de ambos tipos (navegación e invocación). También es posible que solamente pueda ejecutar acciones (si existen como objetos compartidos en el catálogo o en un objeto compartido, por </w:t>
      </w:r>
      <w:proofErr w:type="gramStart"/>
      <w:r>
        <w:t>ejemplo</w:t>
      </w:r>
      <w:proofErr w:type="gramEnd"/>
      <w:r>
        <w:t xml:space="preserve"> en un cuadro de mando o análisis).</w:t>
      </w:r>
    </w:p>
    <w:p w14:paraId="4FF8E656" w14:textId="1AA94816" w:rsidR="001C2B56" w:rsidRDefault="001C2B56" w:rsidP="001C2B56">
      <w:pPr>
        <w:ind w:left="731" w:firstLine="0"/>
      </w:pPr>
    </w:p>
    <w:p w14:paraId="61764BDD" w14:textId="77777777" w:rsidR="001C2B56" w:rsidRDefault="001C2B56" w:rsidP="001C2B56">
      <w:pPr>
        <w:ind w:left="731" w:firstLine="0"/>
      </w:pPr>
      <w:r>
        <w:t>En la siguiente lista se identifican y describen los tipos de acciones que permiten navegar hasta contenido relacionado:</w:t>
      </w:r>
    </w:p>
    <w:p w14:paraId="124958B2" w14:textId="77777777" w:rsidR="001C2B56" w:rsidRDefault="001C2B56" w:rsidP="001C2B56">
      <w:pPr>
        <w:ind w:left="731" w:firstLine="0"/>
      </w:pPr>
    </w:p>
    <w:p w14:paraId="22DC5E5C" w14:textId="77777777" w:rsidR="001C2B56" w:rsidRDefault="001C2B56" w:rsidP="001C2B56">
      <w:pPr>
        <w:ind w:left="731" w:firstLine="0"/>
      </w:pPr>
      <w:r>
        <w:t>Navegar a Contenido de BI: permite navegar hasta un análisis, una página de panel de control específica o un panel de control.</w:t>
      </w:r>
    </w:p>
    <w:p w14:paraId="7B1CC403" w14:textId="77777777" w:rsidR="001C2B56" w:rsidRDefault="001C2B56" w:rsidP="001C2B56">
      <w:pPr>
        <w:ind w:left="731" w:firstLine="0"/>
      </w:pPr>
    </w:p>
    <w:p w14:paraId="1998AA11" w14:textId="77777777" w:rsidR="001C2B56" w:rsidRDefault="001C2B56" w:rsidP="001C2B56">
      <w:pPr>
        <w:ind w:left="731" w:firstLine="0"/>
      </w:pPr>
      <w:r>
        <w:t>Navegar a una Página Web: permite navegar a una URL especificada.</w:t>
      </w:r>
    </w:p>
    <w:p w14:paraId="10C11523" w14:textId="77777777" w:rsidR="001C2B56" w:rsidRDefault="001C2B56" w:rsidP="001C2B56">
      <w:pPr>
        <w:ind w:left="731" w:firstLine="0"/>
      </w:pPr>
    </w:p>
    <w:p w14:paraId="5A5493B7" w14:textId="77777777" w:rsidR="001C2B56" w:rsidRDefault="001C2B56" w:rsidP="001C2B56">
      <w:pPr>
        <w:ind w:left="731" w:firstLine="0"/>
      </w:pPr>
      <w:r>
        <w:t xml:space="preserve">Navegar a Contenido de EPM: permite navegar a contenido de </w:t>
      </w:r>
      <w:proofErr w:type="spellStart"/>
      <w:r>
        <w:t>Financial</w:t>
      </w:r>
      <w:proofErr w:type="spellEnd"/>
      <w:r>
        <w:t xml:space="preserve"> </w:t>
      </w:r>
      <w:proofErr w:type="spellStart"/>
      <w:r>
        <w:t>Reporting</w:t>
      </w:r>
      <w:proofErr w:type="spellEnd"/>
      <w:r>
        <w:t>.</w:t>
      </w:r>
    </w:p>
    <w:p w14:paraId="79B3AF90" w14:textId="77777777" w:rsidR="001C2B56" w:rsidRDefault="001C2B56" w:rsidP="001C2B56">
      <w:pPr>
        <w:ind w:left="731" w:firstLine="0"/>
      </w:pPr>
    </w:p>
    <w:p w14:paraId="7D633094" w14:textId="77777777" w:rsidR="001C2B56" w:rsidRDefault="001C2B56" w:rsidP="001C2B56">
      <w:pPr>
        <w:ind w:left="731" w:firstLine="0"/>
      </w:pPr>
      <w:r>
        <w:t xml:space="preserve">Este tipo de acción requiere cierto grado de configuración antes de estar disponible.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614B94FA" w14:textId="77777777" w:rsidR="001C2B56" w:rsidRDefault="001C2B56" w:rsidP="001C2B56">
      <w:pPr>
        <w:ind w:left="731" w:firstLine="0"/>
      </w:pPr>
    </w:p>
    <w:p w14:paraId="2B9F145C" w14:textId="77777777" w:rsidR="001C2B56" w:rsidRDefault="001C2B56" w:rsidP="001C2B56">
      <w:pPr>
        <w:ind w:left="731" w:firstLine="0"/>
      </w:pPr>
      <w:r>
        <w:t>Navegar a E-Business Suite: permite navegar a una página o pantalla de Oracle E-Business Suite. Utilice este tipo de acción para permitir a los usuarios volver a una página o pantalla de Oracle E-Business Suite después de conectarse en primer lugar a Oracle E-Business Suite y, a continuación, acceder a Oracle BI EE.</w:t>
      </w:r>
    </w:p>
    <w:p w14:paraId="10DCE996" w14:textId="77777777" w:rsidR="001C2B56" w:rsidRDefault="001C2B56" w:rsidP="001C2B56">
      <w:pPr>
        <w:ind w:left="731" w:firstLine="0"/>
      </w:pPr>
    </w:p>
    <w:p w14:paraId="05F9E302" w14:textId="77777777" w:rsidR="001C2B56" w:rsidRDefault="001C2B56" w:rsidP="001C2B56">
      <w:pPr>
        <w:ind w:left="731" w:firstLine="0"/>
      </w:pPr>
      <w:r>
        <w:t xml:space="preserve">Este tipo de acción requiere cierto grado de configuración antes de estar disponible.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5E866A17" w14:textId="77777777" w:rsidR="001C2B56" w:rsidRDefault="001C2B56" w:rsidP="001C2B56">
      <w:pPr>
        <w:ind w:left="731" w:firstLine="0"/>
      </w:pPr>
    </w:p>
    <w:p w14:paraId="6B3F3B79" w14:textId="651325D5" w:rsidR="001C2B56" w:rsidRDefault="001C2B56" w:rsidP="001C2B56">
      <w:pPr>
        <w:ind w:left="731" w:firstLine="0"/>
      </w:pPr>
      <w:r>
        <w:t>Navegar a Siebel CRM: permite navegar a una vista (como una oportunidad) de una aplicación de Siebel CRM. Utilice este tipo de acción para permitir a los usuarios navegar desde un panel de control que se encuentre embebido en una aplicación de Siebel CRM hasta un registro en una vista de la aplicación de CRM.</w:t>
      </w:r>
    </w:p>
    <w:p w14:paraId="2A9F5C22" w14:textId="3E9E5294" w:rsidR="001C2B56" w:rsidRDefault="001C2B56" w:rsidP="001C2B56">
      <w:pPr>
        <w:ind w:left="731" w:firstLine="0"/>
      </w:pPr>
    </w:p>
    <w:p w14:paraId="11E553DA" w14:textId="77777777" w:rsidR="001C2B56" w:rsidRDefault="001C2B56" w:rsidP="001C2B56">
      <w:pPr>
        <w:ind w:left="731" w:firstLine="0"/>
      </w:pPr>
      <w:r>
        <w:t xml:space="preserve">Invocar Servicio Web: llama una operación de servicio web o cualquier servicio SOA que se haya expuesto como servicio web (por ejemplo, un proceso de Business </w:t>
      </w:r>
      <w:proofErr w:type="spellStart"/>
      <w:r>
        <w:t>Process</w:t>
      </w:r>
      <w:proofErr w:type="spellEnd"/>
      <w:r>
        <w:t xml:space="preserve"> </w:t>
      </w:r>
      <w:proofErr w:type="spellStart"/>
      <w:r>
        <w:t>Execution</w:t>
      </w:r>
      <w:proofErr w:type="spellEnd"/>
      <w:r>
        <w:t xml:space="preserve"> </w:t>
      </w:r>
      <w:proofErr w:type="spellStart"/>
      <w:r>
        <w:t>Language</w:t>
      </w:r>
      <w:proofErr w:type="spellEnd"/>
      <w:r>
        <w:t xml:space="preserve"> (BPEL) en Oracle SOA Suite que se ha expuesto como servicio web).</w:t>
      </w:r>
    </w:p>
    <w:p w14:paraId="25CE8C57" w14:textId="77777777" w:rsidR="001C2B56" w:rsidRDefault="001C2B56" w:rsidP="001C2B56">
      <w:pPr>
        <w:ind w:left="731" w:firstLine="0"/>
      </w:pPr>
    </w:p>
    <w:p w14:paraId="7FEABDA5" w14:textId="77777777" w:rsidR="001C2B56" w:rsidRDefault="001C2B56" w:rsidP="001C2B56">
      <w:pPr>
        <w:ind w:left="731" w:firstLine="0"/>
      </w:pPr>
      <w:r>
        <w:t xml:space="preserve">Este tipo de acción requiere cierto grado de configuración antes de poder usarse.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6B7A4D30" w14:textId="77777777" w:rsidR="001C2B56" w:rsidRDefault="001C2B56" w:rsidP="001C2B56">
      <w:pPr>
        <w:ind w:left="731" w:firstLine="0"/>
      </w:pPr>
    </w:p>
    <w:p w14:paraId="4DF01A28" w14:textId="77777777" w:rsidR="001C2B56" w:rsidRDefault="001C2B56" w:rsidP="001C2B56">
      <w:pPr>
        <w:ind w:left="731" w:firstLine="0"/>
      </w:pPr>
      <w:r>
        <w:t xml:space="preserve">Llamar un método Java: llama un método Java en un Enterprise Java </w:t>
      </w:r>
      <w:proofErr w:type="spellStart"/>
      <w:r>
        <w:t>Bean</w:t>
      </w:r>
      <w:proofErr w:type="spellEnd"/>
      <w:r>
        <w:t xml:space="preserve"> (EJB).</w:t>
      </w:r>
    </w:p>
    <w:p w14:paraId="0F2843C8" w14:textId="77777777" w:rsidR="001C2B56" w:rsidRDefault="001C2B56" w:rsidP="001C2B56">
      <w:pPr>
        <w:ind w:left="731" w:firstLine="0"/>
      </w:pPr>
    </w:p>
    <w:p w14:paraId="16BCFB91" w14:textId="77777777" w:rsidR="001C2B56" w:rsidRDefault="001C2B56" w:rsidP="001C2B56">
      <w:pPr>
        <w:ind w:left="731" w:firstLine="0"/>
      </w:pPr>
      <w:r>
        <w:t xml:space="preserve">Este tipo de acción requiere cierto grado de configuración antes de poder usarse.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6B0BAE15" w14:textId="77777777" w:rsidR="001C2B56" w:rsidRDefault="001C2B56" w:rsidP="001C2B56">
      <w:pPr>
        <w:ind w:left="731" w:firstLine="0"/>
      </w:pPr>
    </w:p>
    <w:p w14:paraId="3A22559D" w14:textId="77777777" w:rsidR="001C2B56" w:rsidRDefault="001C2B56" w:rsidP="001C2B56">
      <w:pPr>
        <w:ind w:left="731" w:firstLine="0"/>
      </w:pPr>
      <w:r>
        <w:t>Llamar a un Script de Explorador: llama a una función de JavaScript desde el explorador web del cliente.</w:t>
      </w:r>
    </w:p>
    <w:p w14:paraId="523B36C9" w14:textId="77777777" w:rsidR="001C2B56" w:rsidRDefault="001C2B56" w:rsidP="001C2B56">
      <w:pPr>
        <w:ind w:left="731" w:firstLine="0"/>
      </w:pPr>
    </w:p>
    <w:p w14:paraId="44B19330" w14:textId="77777777" w:rsidR="001C2B56" w:rsidRDefault="001C2B56" w:rsidP="001C2B56">
      <w:pPr>
        <w:ind w:left="731" w:firstLine="0"/>
      </w:pPr>
      <w:r>
        <w:t xml:space="preserve">Este tipo de acción requiere cierto grado de configuración antes de poder usarse. Para obtener información sobre la configuración necesaria, consulte Guía del Integrador de Oracle Business </w:t>
      </w:r>
      <w:proofErr w:type="spellStart"/>
      <w:r>
        <w:t>Intelligence</w:t>
      </w:r>
      <w:proofErr w:type="spellEnd"/>
      <w:r>
        <w:t xml:space="preserve"> Enterprise </w:t>
      </w:r>
      <w:proofErr w:type="spellStart"/>
      <w:r>
        <w:t>Edition</w:t>
      </w:r>
      <w:proofErr w:type="spellEnd"/>
      <w:r>
        <w:t>.</w:t>
      </w:r>
    </w:p>
    <w:p w14:paraId="6B686DEE" w14:textId="77777777" w:rsidR="001C2B56" w:rsidRDefault="001C2B56" w:rsidP="001C2B56">
      <w:pPr>
        <w:ind w:left="731" w:firstLine="0"/>
      </w:pPr>
    </w:p>
    <w:p w14:paraId="5AD2C384" w14:textId="7139B3F5" w:rsidR="001C2B56" w:rsidRDefault="001C2B56" w:rsidP="001C2B56">
      <w:pPr>
        <w:ind w:left="731" w:firstLine="0"/>
      </w:pPr>
      <w:r>
        <w:t xml:space="preserve">Llamar el Script del Servidor: ejecuta un script personalizado cuando se completa el agente actual. El tipo de script personalizado puede ser </w:t>
      </w:r>
      <w:proofErr w:type="spellStart"/>
      <w:r>
        <w:t>Javascript</w:t>
      </w:r>
      <w:proofErr w:type="spellEnd"/>
      <w:r>
        <w:t xml:space="preserve"> o VBScript.</w:t>
      </w:r>
    </w:p>
    <w:p w14:paraId="4DB9C33A" w14:textId="6A836069" w:rsidR="001C2B56" w:rsidRDefault="001C2B56" w:rsidP="001C2B56">
      <w:pPr>
        <w:ind w:left="731" w:firstLine="0"/>
      </w:pPr>
    </w:p>
    <w:p w14:paraId="78924EF3" w14:textId="77777777" w:rsidR="001C2B56" w:rsidRDefault="001C2B56" w:rsidP="001C2B56">
      <w:pPr>
        <w:ind w:left="731" w:firstLine="0"/>
      </w:pPr>
      <w:r>
        <w:t>Llamar una solicitud HTTP: envía una solicitud HTTP a través del servidor o a una URL de destino. Este tipo de acción se utiliza para llamar a servicios externos que se exponen mediante API de URL.</w:t>
      </w:r>
    </w:p>
    <w:p w14:paraId="1FEBA7FB" w14:textId="77777777" w:rsidR="001C2B56" w:rsidRDefault="001C2B56" w:rsidP="001C2B56">
      <w:pPr>
        <w:ind w:left="731" w:firstLine="0"/>
      </w:pPr>
    </w:p>
    <w:p w14:paraId="2E980AA5" w14:textId="77777777" w:rsidR="001C2B56" w:rsidRDefault="001C2B56" w:rsidP="001C2B56">
      <w:pPr>
        <w:ind w:left="731" w:firstLine="0"/>
      </w:pPr>
      <w:r>
        <w:lastRenderedPageBreak/>
        <w:t>Llamar Agente: invoca otro agente. Este tipo de acción le permite encadenar agentes. Por ejemplo, puede hacer que el Agente A invoque al Agente B que a su vez invoca al Agente C, etc.</w:t>
      </w:r>
    </w:p>
    <w:p w14:paraId="19DD3A34" w14:textId="77777777" w:rsidR="001C2B56" w:rsidRDefault="001C2B56" w:rsidP="001C2B56">
      <w:pPr>
        <w:ind w:left="731" w:firstLine="0"/>
      </w:pPr>
    </w:p>
    <w:p w14:paraId="4D167BE7" w14:textId="570EA3B2" w:rsidR="001C2B56" w:rsidRDefault="001C2B56" w:rsidP="001C2B56">
      <w:pPr>
        <w:ind w:left="731" w:firstLine="0"/>
      </w:pPr>
      <w:r>
        <w:t>Llamar Trabajos de Java: ejecuta una acción de programa de Java personalizada que se ha creado en una versión anterior (anterior a la versión 11g) y se ha actualizado en esta versión. No puede crear este tipo de acción. Este tipo de acción es de solo lectura.</w:t>
      </w:r>
    </w:p>
    <w:p w14:paraId="7B0A8614" w14:textId="77777777" w:rsidR="00A70531" w:rsidRDefault="00FF4CD5">
      <w:pPr>
        <w:pStyle w:val="Ttulo1"/>
        <w:ind w:left="21"/>
      </w:pPr>
      <w:r>
        <w:t>B.  PL/SQL</w:t>
      </w:r>
    </w:p>
    <w:p w14:paraId="5DC69E1B" w14:textId="1CD011E4" w:rsidR="00A70531" w:rsidRDefault="00FF4CD5">
      <w:pPr>
        <w:numPr>
          <w:ilvl w:val="0"/>
          <w:numId w:val="4"/>
        </w:numPr>
        <w:ind w:hanging="360"/>
      </w:pPr>
      <w:r>
        <w:t>¿Qué es PL/SQL?</w:t>
      </w:r>
    </w:p>
    <w:p w14:paraId="34A947D2" w14:textId="77777777" w:rsidR="00A24826" w:rsidRDefault="00A24826" w:rsidP="00A24826">
      <w:pPr>
        <w:ind w:left="731" w:firstLine="0"/>
      </w:pPr>
      <w:r>
        <w:t>SQL es un lenguaje de consulta, para los sistemas de bases de datos relacionales, que no posee la potencia de los lenguajes de programación. No permite el uso de variables, estructuras de control de flujo, bucles y demás elementos característicos de la programación. No es de extrañar, SQL es un lenguaje de consulta, no un lenguaje de programación.</w:t>
      </w:r>
    </w:p>
    <w:p w14:paraId="5D351E8D" w14:textId="77777777" w:rsidR="00A24826" w:rsidRDefault="00A24826" w:rsidP="00A24826">
      <w:pPr>
        <w:ind w:left="731" w:firstLine="0"/>
      </w:pPr>
    </w:p>
    <w:p w14:paraId="754B2946" w14:textId="4AE2A4B5" w:rsidR="00A24826" w:rsidRDefault="00A24826" w:rsidP="00A24826">
      <w:pPr>
        <w:ind w:left="731" w:firstLine="0"/>
      </w:pPr>
      <w:r>
        <w:t>Sin embargo, SQL es la herramienta ideal para trabajar con bases de datos. Cuando se desea realizar una aplicación completa, para el manejo de una base de datos relacional, resulta necesario utilizar alguna herramienta que soporte la capacidad de consulta del SQL y la versatilidad de los lenguajes de programación tradicionales. PL/SQL es el lenguaje de programación que proporciona Oracle para extender el SQL estándar con otro tipo de instrucciones y elementos propios de los lenguajes de programación.</w:t>
      </w:r>
    </w:p>
    <w:p w14:paraId="73D58918" w14:textId="77777777" w:rsidR="00A24826" w:rsidRDefault="00A24826" w:rsidP="00A24826">
      <w:pPr>
        <w:ind w:left="731" w:firstLine="0"/>
      </w:pPr>
    </w:p>
    <w:p w14:paraId="67C8EAC8" w14:textId="65BB0D68" w:rsidR="00C933FD" w:rsidRPr="00C933FD" w:rsidRDefault="00FF4CD5" w:rsidP="00C933FD">
      <w:pPr>
        <w:numPr>
          <w:ilvl w:val="0"/>
          <w:numId w:val="4"/>
        </w:numPr>
        <w:ind w:hanging="360"/>
      </w:pPr>
      <w:r>
        <w:t>¿Qué motores lo soportan?</w:t>
      </w:r>
    </w:p>
    <w:p w14:paraId="3E4D2770" w14:textId="49E85F26" w:rsidR="00C933FD" w:rsidRPr="00C933FD" w:rsidRDefault="00C933FD" w:rsidP="00C933FD">
      <w:pPr>
        <w:pStyle w:val="Prrafodelista"/>
        <w:numPr>
          <w:ilvl w:val="0"/>
          <w:numId w:val="10"/>
        </w:numPr>
        <w:rPr>
          <w:lang w:val="en-US"/>
        </w:rPr>
      </w:pPr>
      <w:r w:rsidRPr="00C933FD">
        <w:rPr>
          <w:lang w:val="en-US"/>
        </w:rPr>
        <w:t>MS Access</w:t>
      </w:r>
    </w:p>
    <w:p w14:paraId="182C7622" w14:textId="77777777" w:rsidR="00C933FD" w:rsidRPr="00C933FD" w:rsidRDefault="00C933FD" w:rsidP="00C933FD">
      <w:pPr>
        <w:pStyle w:val="Prrafodelista"/>
        <w:numPr>
          <w:ilvl w:val="0"/>
          <w:numId w:val="10"/>
        </w:numPr>
        <w:rPr>
          <w:lang w:val="en-US"/>
        </w:rPr>
      </w:pPr>
      <w:r w:rsidRPr="00C933FD">
        <w:rPr>
          <w:lang w:val="en-US"/>
        </w:rPr>
        <w:t>PostgreSQL</w:t>
      </w:r>
    </w:p>
    <w:p w14:paraId="16042037" w14:textId="77777777" w:rsidR="00C933FD" w:rsidRPr="00C933FD" w:rsidRDefault="00C933FD" w:rsidP="00C933FD">
      <w:pPr>
        <w:pStyle w:val="Prrafodelista"/>
        <w:numPr>
          <w:ilvl w:val="0"/>
          <w:numId w:val="10"/>
        </w:numPr>
        <w:rPr>
          <w:lang w:val="en-US"/>
        </w:rPr>
      </w:pPr>
      <w:r w:rsidRPr="00C933FD">
        <w:rPr>
          <w:lang w:val="en-US"/>
        </w:rPr>
        <w:t>MSSQL</w:t>
      </w:r>
    </w:p>
    <w:p w14:paraId="50E2CD29" w14:textId="72B04510" w:rsidR="00C933FD" w:rsidRPr="00C933FD" w:rsidRDefault="00C933FD" w:rsidP="00C933FD">
      <w:pPr>
        <w:pStyle w:val="Prrafodelista"/>
        <w:numPr>
          <w:ilvl w:val="0"/>
          <w:numId w:val="10"/>
        </w:numPr>
        <w:rPr>
          <w:lang w:val="en-US"/>
        </w:rPr>
      </w:pPr>
      <w:r w:rsidRPr="00C933FD">
        <w:rPr>
          <w:lang w:val="en-US"/>
        </w:rPr>
        <w:t>SQLite</w:t>
      </w:r>
    </w:p>
    <w:p w14:paraId="6DE02F4C" w14:textId="6F567DE8" w:rsidR="00C933FD" w:rsidRDefault="00C933FD" w:rsidP="00C933FD">
      <w:pPr>
        <w:pStyle w:val="Prrafodelista"/>
        <w:numPr>
          <w:ilvl w:val="0"/>
          <w:numId w:val="10"/>
        </w:numPr>
        <w:rPr>
          <w:lang w:val="en-US"/>
        </w:rPr>
      </w:pPr>
      <w:r w:rsidRPr="00C933FD">
        <w:rPr>
          <w:lang w:val="en-US"/>
        </w:rPr>
        <w:t>MySQL</w:t>
      </w:r>
    </w:p>
    <w:p w14:paraId="64291A4D" w14:textId="3B8B98F7" w:rsidR="00C933FD" w:rsidRDefault="00C933FD" w:rsidP="00C933FD">
      <w:pPr>
        <w:pStyle w:val="Prrafodelista"/>
        <w:numPr>
          <w:ilvl w:val="0"/>
          <w:numId w:val="10"/>
        </w:numPr>
        <w:rPr>
          <w:lang w:val="en-US"/>
        </w:rPr>
      </w:pPr>
      <w:r w:rsidRPr="00C933FD">
        <w:rPr>
          <w:lang w:val="en-US"/>
        </w:rPr>
        <w:t>MongoDB</w:t>
      </w:r>
    </w:p>
    <w:p w14:paraId="757805AF" w14:textId="576F9206" w:rsidR="00C933FD" w:rsidRDefault="00C933FD" w:rsidP="00C933FD">
      <w:pPr>
        <w:pStyle w:val="Prrafodelista"/>
        <w:numPr>
          <w:ilvl w:val="0"/>
          <w:numId w:val="10"/>
        </w:numPr>
        <w:rPr>
          <w:lang w:val="en-US"/>
        </w:rPr>
      </w:pPr>
      <w:proofErr w:type="spellStart"/>
      <w:r w:rsidRPr="00C933FD">
        <w:rPr>
          <w:lang w:val="en-US"/>
        </w:rPr>
        <w:t>Hypertable</w:t>
      </w:r>
      <w:proofErr w:type="spellEnd"/>
    </w:p>
    <w:p w14:paraId="6E41D003" w14:textId="290BF127" w:rsidR="00C933FD" w:rsidRDefault="00C933FD" w:rsidP="00C933FD">
      <w:pPr>
        <w:pStyle w:val="Prrafodelista"/>
        <w:numPr>
          <w:ilvl w:val="0"/>
          <w:numId w:val="10"/>
        </w:numPr>
        <w:rPr>
          <w:lang w:val="en-US"/>
        </w:rPr>
      </w:pPr>
      <w:r w:rsidRPr="00C933FD">
        <w:rPr>
          <w:lang w:val="en-US"/>
        </w:rPr>
        <w:t>Apache CouchDB</w:t>
      </w:r>
    </w:p>
    <w:p w14:paraId="4A2F2EF9" w14:textId="6A133248" w:rsidR="00C933FD" w:rsidRDefault="00C933FD" w:rsidP="00C933FD">
      <w:pPr>
        <w:pStyle w:val="Prrafodelista"/>
        <w:numPr>
          <w:ilvl w:val="0"/>
          <w:numId w:val="10"/>
        </w:numPr>
        <w:rPr>
          <w:lang w:val="en-US"/>
        </w:rPr>
      </w:pPr>
      <w:r w:rsidRPr="00C933FD">
        <w:rPr>
          <w:lang w:val="en-US"/>
        </w:rPr>
        <w:t>Neo4j</w:t>
      </w:r>
    </w:p>
    <w:p w14:paraId="7D7CE43F" w14:textId="01E9A234" w:rsidR="00C933FD" w:rsidRDefault="00C933FD" w:rsidP="00C933FD">
      <w:pPr>
        <w:pStyle w:val="Prrafodelista"/>
        <w:numPr>
          <w:ilvl w:val="0"/>
          <w:numId w:val="10"/>
        </w:numPr>
        <w:rPr>
          <w:lang w:val="en-US"/>
        </w:rPr>
      </w:pPr>
      <w:proofErr w:type="spellStart"/>
      <w:r w:rsidRPr="00C933FD">
        <w:rPr>
          <w:lang w:val="en-US"/>
        </w:rPr>
        <w:t>Riak</w:t>
      </w:r>
      <w:proofErr w:type="spellEnd"/>
    </w:p>
    <w:p w14:paraId="7B004E3F" w14:textId="13C77632" w:rsidR="00C933FD" w:rsidRDefault="00C933FD" w:rsidP="00C933FD">
      <w:pPr>
        <w:pStyle w:val="Prrafodelista"/>
        <w:numPr>
          <w:ilvl w:val="0"/>
          <w:numId w:val="10"/>
        </w:numPr>
        <w:rPr>
          <w:lang w:val="en-US"/>
        </w:rPr>
      </w:pPr>
      <w:r w:rsidRPr="00C933FD">
        <w:rPr>
          <w:lang w:val="en-US"/>
        </w:rPr>
        <w:t>Oracle Berkeley DB</w:t>
      </w:r>
    </w:p>
    <w:p w14:paraId="660E163B" w14:textId="1ADFA1AB" w:rsidR="00C933FD" w:rsidRDefault="00C933FD" w:rsidP="00C933FD">
      <w:pPr>
        <w:pStyle w:val="Prrafodelista"/>
        <w:numPr>
          <w:ilvl w:val="0"/>
          <w:numId w:val="10"/>
        </w:numPr>
        <w:rPr>
          <w:lang w:val="en-US"/>
        </w:rPr>
      </w:pPr>
      <w:r w:rsidRPr="00C933FD">
        <w:rPr>
          <w:lang w:val="en-US"/>
        </w:rPr>
        <w:t>Memcached</w:t>
      </w:r>
    </w:p>
    <w:p w14:paraId="1049D984" w14:textId="09D75D07" w:rsidR="00C933FD" w:rsidRDefault="00C933FD" w:rsidP="00C933FD">
      <w:pPr>
        <w:pStyle w:val="Prrafodelista"/>
        <w:numPr>
          <w:ilvl w:val="0"/>
          <w:numId w:val="10"/>
        </w:numPr>
        <w:rPr>
          <w:lang w:val="en-US"/>
        </w:rPr>
      </w:pPr>
      <w:r w:rsidRPr="00C933FD">
        <w:rPr>
          <w:lang w:val="en-US"/>
        </w:rPr>
        <w:t>Firebird</w:t>
      </w:r>
    </w:p>
    <w:p w14:paraId="26189B3A" w14:textId="2A5A9BD9" w:rsidR="00C933FD" w:rsidRDefault="00C933FD" w:rsidP="00C933FD">
      <w:pPr>
        <w:pStyle w:val="Prrafodelista"/>
        <w:numPr>
          <w:ilvl w:val="0"/>
          <w:numId w:val="10"/>
        </w:numPr>
        <w:rPr>
          <w:lang w:val="en-US"/>
        </w:rPr>
      </w:pPr>
      <w:r w:rsidRPr="00C933FD">
        <w:rPr>
          <w:lang w:val="en-US"/>
        </w:rPr>
        <w:t>Redis</w:t>
      </w:r>
    </w:p>
    <w:p w14:paraId="711990BF" w14:textId="15D08889" w:rsidR="00C933FD" w:rsidRDefault="00C933FD" w:rsidP="00C933FD">
      <w:pPr>
        <w:pStyle w:val="Prrafodelista"/>
        <w:numPr>
          <w:ilvl w:val="0"/>
          <w:numId w:val="10"/>
        </w:numPr>
        <w:rPr>
          <w:lang w:val="en-US"/>
        </w:rPr>
      </w:pPr>
      <w:r w:rsidRPr="00C933FD">
        <w:rPr>
          <w:lang w:val="en-US"/>
        </w:rPr>
        <w:t>HBase</w:t>
      </w:r>
    </w:p>
    <w:p w14:paraId="7C12A0D8" w14:textId="63D4FD39" w:rsidR="00C933FD" w:rsidRDefault="00C933FD" w:rsidP="00C933FD">
      <w:pPr>
        <w:pStyle w:val="Prrafodelista"/>
        <w:numPr>
          <w:ilvl w:val="0"/>
          <w:numId w:val="10"/>
        </w:numPr>
        <w:rPr>
          <w:lang w:val="en-US"/>
        </w:rPr>
      </w:pPr>
      <w:proofErr w:type="spellStart"/>
      <w:r w:rsidRPr="00C933FD">
        <w:rPr>
          <w:lang w:val="en-US"/>
        </w:rPr>
        <w:t>Keyspace</w:t>
      </w:r>
      <w:proofErr w:type="spellEnd"/>
    </w:p>
    <w:p w14:paraId="7D0364FF" w14:textId="0B48BE8D" w:rsidR="00C933FD" w:rsidRDefault="00C933FD" w:rsidP="00C933FD">
      <w:pPr>
        <w:pStyle w:val="Prrafodelista"/>
        <w:numPr>
          <w:ilvl w:val="0"/>
          <w:numId w:val="10"/>
        </w:numPr>
        <w:rPr>
          <w:lang w:val="en-US"/>
        </w:rPr>
      </w:pPr>
      <w:r w:rsidRPr="00C933FD">
        <w:rPr>
          <w:lang w:val="en-US"/>
        </w:rPr>
        <w:t>4store</w:t>
      </w:r>
    </w:p>
    <w:p w14:paraId="00C2CFD7" w14:textId="7ED82AFF" w:rsidR="00C933FD" w:rsidRDefault="00C933FD" w:rsidP="00C933FD">
      <w:pPr>
        <w:pStyle w:val="Prrafodelista"/>
        <w:numPr>
          <w:ilvl w:val="0"/>
          <w:numId w:val="10"/>
        </w:numPr>
        <w:rPr>
          <w:lang w:val="en-US"/>
        </w:rPr>
      </w:pPr>
      <w:r w:rsidRPr="00C933FD">
        <w:rPr>
          <w:lang w:val="en-US"/>
        </w:rPr>
        <w:t>MariaDB</w:t>
      </w:r>
    </w:p>
    <w:p w14:paraId="476B89C3" w14:textId="6C30B281" w:rsidR="00C933FD" w:rsidRDefault="00C933FD" w:rsidP="00C933FD">
      <w:pPr>
        <w:pStyle w:val="Prrafodelista"/>
        <w:numPr>
          <w:ilvl w:val="0"/>
          <w:numId w:val="10"/>
        </w:numPr>
        <w:rPr>
          <w:lang w:val="en-US"/>
        </w:rPr>
      </w:pPr>
      <w:r w:rsidRPr="00C933FD">
        <w:rPr>
          <w:lang w:val="en-US"/>
        </w:rPr>
        <w:t>Drizzle</w:t>
      </w:r>
    </w:p>
    <w:p w14:paraId="233CDED9" w14:textId="4B65AC41" w:rsidR="00C933FD" w:rsidRDefault="00C933FD" w:rsidP="00C933FD">
      <w:pPr>
        <w:pStyle w:val="Prrafodelista"/>
        <w:numPr>
          <w:ilvl w:val="0"/>
          <w:numId w:val="10"/>
        </w:numPr>
        <w:rPr>
          <w:lang w:val="en-US"/>
        </w:rPr>
      </w:pPr>
      <w:proofErr w:type="spellStart"/>
      <w:r w:rsidRPr="00C933FD">
        <w:rPr>
          <w:lang w:val="en-US"/>
        </w:rPr>
        <w:t>HyperSQL</w:t>
      </w:r>
      <w:proofErr w:type="spellEnd"/>
    </w:p>
    <w:p w14:paraId="168E17CD" w14:textId="7473DF42" w:rsidR="00C933FD" w:rsidRDefault="00C933FD" w:rsidP="00C933FD">
      <w:pPr>
        <w:pStyle w:val="Prrafodelista"/>
        <w:numPr>
          <w:ilvl w:val="0"/>
          <w:numId w:val="10"/>
        </w:numPr>
        <w:rPr>
          <w:lang w:val="en-US"/>
        </w:rPr>
      </w:pPr>
      <w:proofErr w:type="spellStart"/>
      <w:r w:rsidRPr="00C933FD">
        <w:rPr>
          <w:lang w:val="en-US"/>
        </w:rPr>
        <w:t>MonetDB</w:t>
      </w:r>
      <w:proofErr w:type="spellEnd"/>
    </w:p>
    <w:p w14:paraId="1C48CEAE" w14:textId="653F2A75" w:rsidR="00C933FD" w:rsidRDefault="00C933FD" w:rsidP="00C933FD">
      <w:pPr>
        <w:pStyle w:val="Prrafodelista"/>
        <w:numPr>
          <w:ilvl w:val="0"/>
          <w:numId w:val="10"/>
        </w:numPr>
        <w:rPr>
          <w:lang w:val="en-US"/>
        </w:rPr>
      </w:pPr>
      <w:r w:rsidRPr="00C933FD">
        <w:rPr>
          <w:lang w:val="en-US"/>
        </w:rPr>
        <w:t>Persevere</w:t>
      </w:r>
    </w:p>
    <w:p w14:paraId="434CB61A" w14:textId="58C01C1D" w:rsidR="00C933FD" w:rsidRPr="00C933FD" w:rsidRDefault="00C933FD" w:rsidP="00C933FD">
      <w:pPr>
        <w:pStyle w:val="Prrafodelista"/>
        <w:numPr>
          <w:ilvl w:val="0"/>
          <w:numId w:val="10"/>
        </w:numPr>
        <w:rPr>
          <w:lang w:val="en-US"/>
        </w:rPr>
      </w:pPr>
      <w:proofErr w:type="spellStart"/>
      <w:r w:rsidRPr="00C933FD">
        <w:rPr>
          <w:lang w:val="en-US"/>
        </w:rPr>
        <w:t>eXist-db</w:t>
      </w:r>
      <w:proofErr w:type="spellEnd"/>
    </w:p>
    <w:p w14:paraId="1B0F4C40" w14:textId="77777777" w:rsidR="00A70531" w:rsidRDefault="00FF4CD5">
      <w:pPr>
        <w:pStyle w:val="Ttulo1"/>
        <w:ind w:left="21"/>
      </w:pPr>
      <w:r>
        <w:t>C.  Datos e instruccio</w:t>
      </w:r>
      <w:r>
        <w:t>nes en PL/SQL</w:t>
      </w:r>
    </w:p>
    <w:p w14:paraId="34ECF929" w14:textId="77777777" w:rsidR="00A70531" w:rsidRDefault="00FF4CD5">
      <w:pPr>
        <w:numPr>
          <w:ilvl w:val="0"/>
          <w:numId w:val="5"/>
        </w:numPr>
        <w:ind w:hanging="360"/>
      </w:pPr>
      <w:r>
        <w:t>¿Cuáles son los tipos de datos que ofrece?</w:t>
      </w:r>
    </w:p>
    <w:p w14:paraId="021F5F6F" w14:textId="77777777" w:rsidR="00A70531" w:rsidRDefault="00FF4CD5">
      <w:pPr>
        <w:numPr>
          <w:ilvl w:val="0"/>
          <w:numId w:val="5"/>
        </w:numPr>
        <w:ind w:hanging="360"/>
      </w:pPr>
      <w:r>
        <w:t xml:space="preserve">¿Cuál es la forma de definir constantes y variables? </w:t>
      </w:r>
    </w:p>
    <w:p w14:paraId="089CC805" w14:textId="77777777" w:rsidR="00A70531" w:rsidRDefault="00FF4CD5">
      <w:pPr>
        <w:numPr>
          <w:ilvl w:val="0"/>
          <w:numId w:val="5"/>
        </w:numPr>
        <w:ind w:hanging="360"/>
      </w:pPr>
      <w:r>
        <w:t>¿C</w:t>
      </w:r>
      <w:r>
        <w:t>ómo se define una variable con un tipo tomado de la base de datos?</w:t>
      </w:r>
    </w:p>
    <w:p w14:paraId="01B21F1F" w14:textId="77777777" w:rsidR="00A70531" w:rsidRDefault="00FF4CD5">
      <w:pPr>
        <w:numPr>
          <w:ilvl w:val="0"/>
          <w:numId w:val="5"/>
        </w:numPr>
        <w:ind w:hanging="360"/>
      </w:pPr>
      <w:r>
        <w:t>¿Cuál es la form</w:t>
      </w:r>
      <w:bookmarkStart w:id="0" w:name="_GoBack"/>
      <w:bookmarkEnd w:id="0"/>
      <w:r>
        <w:t>a de los diferentes tipos de asignación?  (Son tres)</w:t>
      </w:r>
    </w:p>
    <w:p w14:paraId="29608E51" w14:textId="77777777" w:rsidR="00A70531" w:rsidRDefault="00FF4CD5">
      <w:pPr>
        <w:pStyle w:val="Ttulo1"/>
        <w:ind w:left="-324"/>
      </w:pPr>
      <w:r>
        <w:lastRenderedPageBreak/>
        <w:t xml:space="preserve">      D.  Cursores </w:t>
      </w:r>
    </w:p>
    <w:p w14:paraId="78408E7F" w14:textId="77777777" w:rsidR="00A70531" w:rsidRDefault="00FF4CD5">
      <w:pPr>
        <w:numPr>
          <w:ilvl w:val="0"/>
          <w:numId w:val="6"/>
        </w:numPr>
        <w:ind w:hanging="360"/>
      </w:pPr>
      <w:r>
        <w:t>¿Qué es un cursor implícito? ¿Para qué sirve?</w:t>
      </w:r>
    </w:p>
    <w:p w14:paraId="5FA79C9D" w14:textId="77777777" w:rsidR="00A70531" w:rsidRDefault="00FF4CD5">
      <w:pPr>
        <w:numPr>
          <w:ilvl w:val="0"/>
          <w:numId w:val="6"/>
        </w:numPr>
        <w:ind w:hanging="360"/>
      </w:pPr>
      <w:r>
        <w:t>¿Qué es un cursor explícito? ¿Para qué sirve?</w:t>
      </w:r>
    </w:p>
    <w:p w14:paraId="3C302441" w14:textId="77777777" w:rsidR="00A70531" w:rsidRDefault="00FF4CD5">
      <w:pPr>
        <w:numPr>
          <w:ilvl w:val="0"/>
          <w:numId w:val="6"/>
        </w:numPr>
        <w:ind w:hanging="360"/>
      </w:pPr>
      <w:r>
        <w:t xml:space="preserve">¿Cuáles </w:t>
      </w:r>
      <w:r>
        <w:t>son las excepciones propias de uso de estos cursores?</w:t>
      </w:r>
    </w:p>
    <w:p w14:paraId="1DEB96B3" w14:textId="77777777" w:rsidR="00A70531" w:rsidRDefault="00FF4CD5">
      <w:pPr>
        <w:pStyle w:val="Ttulo1"/>
        <w:ind w:left="21"/>
      </w:pPr>
      <w:r>
        <w:t>E.  Modularidad</w:t>
      </w:r>
    </w:p>
    <w:p w14:paraId="720116A2" w14:textId="77777777" w:rsidR="00A70531" w:rsidRDefault="00FF4CD5">
      <w:pPr>
        <w:numPr>
          <w:ilvl w:val="0"/>
          <w:numId w:val="7"/>
        </w:numPr>
        <w:ind w:hanging="360"/>
      </w:pPr>
      <w:r>
        <w:t xml:space="preserve">¿Cuál es la estructura general de un bloque PL/SQL? </w:t>
      </w:r>
    </w:p>
    <w:p w14:paraId="2ECE3B3D" w14:textId="77777777" w:rsidR="00A70531" w:rsidRDefault="00FF4CD5">
      <w:pPr>
        <w:numPr>
          <w:ilvl w:val="0"/>
          <w:numId w:val="7"/>
        </w:numPr>
        <w:spacing w:after="1380"/>
        <w:ind w:hanging="360"/>
      </w:pPr>
      <w:r>
        <w:t>¿Para qué sirven las diferentes estructuras modulares? (bloque anónimo, procedimiento, función y disparador)</w:t>
      </w:r>
    </w:p>
    <w:p w14:paraId="38C36CB3" w14:textId="77777777" w:rsidR="00A70531" w:rsidRDefault="00FF4CD5">
      <w:pPr>
        <w:pStyle w:val="Ttulo1"/>
        <w:ind w:left="21"/>
      </w:pPr>
      <w:r>
        <w:t>PRACTICANDO.  Venta</w:t>
      </w:r>
    </w:p>
    <w:p w14:paraId="3C2DEB31" w14:textId="77777777" w:rsidR="00A70531" w:rsidRDefault="00FF4CD5">
      <w:pPr>
        <w:ind w:left="36"/>
      </w:pPr>
      <w:r>
        <w:t>En e</w:t>
      </w:r>
      <w:r>
        <w:t xml:space="preserve">ste </w:t>
      </w:r>
      <w:proofErr w:type="spellStart"/>
      <w:r>
        <w:t>auto-estudio</w:t>
      </w:r>
      <w:proofErr w:type="spellEnd"/>
      <w:r>
        <w:t xml:space="preserve"> vamos a implementar un caso de uso.</w:t>
      </w:r>
    </w:p>
    <w:p w14:paraId="48A47A50" w14:textId="77777777" w:rsidR="00A70531" w:rsidRDefault="00FF4CD5">
      <w:pPr>
        <w:spacing w:after="0" w:line="229" w:lineRule="auto"/>
        <w:ind w:left="26" w:firstLine="0"/>
      </w:pPr>
      <w:r>
        <w:t xml:space="preserve">Consultar especificaciones de entrega en el vínculo </w:t>
      </w:r>
      <w:proofErr w:type="spellStart"/>
      <w:r>
        <w:t>moodle</w:t>
      </w:r>
      <w:proofErr w:type="spellEnd"/>
      <w:r>
        <w:t xml:space="preserve">: </w:t>
      </w:r>
      <w:hyperlink r:id="rId5">
        <w:r>
          <w:rPr>
            <w:b/>
            <w:i/>
            <w:color w:val="006600"/>
          </w:rPr>
          <w:t xml:space="preserve">Tuplas, restricciones </w:t>
        </w:r>
      </w:hyperlink>
      <w:hyperlink r:id="rId6">
        <w:proofErr w:type="spellStart"/>
        <w:r>
          <w:rPr>
            <w:b/>
            <w:i/>
            <w:color w:val="006600"/>
          </w:rPr>
          <w:t>procedimientales</w:t>
        </w:r>
        <w:proofErr w:type="spellEnd"/>
        <w:r>
          <w:rPr>
            <w:b/>
            <w:i/>
            <w:color w:val="006600"/>
          </w:rPr>
          <w:t xml:space="preserve"> y automatización</w:t>
        </w:r>
      </w:hyperlink>
    </w:p>
    <w:tbl>
      <w:tblPr>
        <w:tblStyle w:val="TableGrid"/>
        <w:tblW w:w="8838" w:type="dxa"/>
        <w:tblInd w:w="24" w:type="dxa"/>
        <w:tblCellMar>
          <w:top w:w="68" w:type="dxa"/>
          <w:left w:w="56" w:type="dxa"/>
          <w:bottom w:w="0" w:type="dxa"/>
          <w:right w:w="115" w:type="dxa"/>
        </w:tblCellMar>
        <w:tblLook w:val="04A0" w:firstRow="1" w:lastRow="0" w:firstColumn="1" w:lastColumn="0" w:noHBand="0" w:noVBand="1"/>
      </w:tblPr>
      <w:tblGrid>
        <w:gridCol w:w="8838"/>
      </w:tblGrid>
      <w:tr w:rsidR="00A70531" w14:paraId="098C1B38" w14:textId="77777777">
        <w:trPr>
          <w:trHeight w:val="4430"/>
        </w:trPr>
        <w:tc>
          <w:tcPr>
            <w:tcW w:w="8838" w:type="dxa"/>
            <w:tcBorders>
              <w:top w:val="single" w:sz="2" w:space="0" w:color="000000"/>
              <w:left w:val="single" w:sz="2" w:space="0" w:color="000000"/>
              <w:bottom w:val="single" w:sz="2" w:space="0" w:color="000000"/>
              <w:right w:val="single" w:sz="2" w:space="0" w:color="000000"/>
            </w:tcBorders>
          </w:tcPr>
          <w:p w14:paraId="68F51BC9" w14:textId="77777777" w:rsidR="00A70531" w:rsidRDefault="00FF4CD5">
            <w:pPr>
              <w:spacing w:after="28" w:line="259" w:lineRule="auto"/>
              <w:ind w:left="0" w:firstLine="0"/>
            </w:pPr>
            <w:r>
              <w:rPr>
                <w:rFonts w:ascii="Courier New" w:eastAsia="Courier New" w:hAnsi="Courier New" w:cs="Courier New"/>
                <w:b/>
                <w:sz w:val="16"/>
              </w:rPr>
              <w:t>CASOS DE USO</w:t>
            </w:r>
          </w:p>
          <w:p w14:paraId="1E37EE39" w14:textId="77777777" w:rsidR="00A70531" w:rsidRDefault="00FF4CD5">
            <w:pPr>
              <w:spacing w:after="26" w:line="259" w:lineRule="auto"/>
              <w:ind w:left="0" w:firstLine="0"/>
            </w:pPr>
            <w:r>
              <w:rPr>
                <w:rFonts w:ascii="Courier New" w:eastAsia="Courier New" w:hAnsi="Courier New" w:cs="Courier New"/>
                <w:b/>
                <w:sz w:val="16"/>
              </w:rPr>
              <w:t xml:space="preserve">Registrar una </w:t>
            </w:r>
            <w:proofErr w:type="gramStart"/>
            <w:r>
              <w:rPr>
                <w:rFonts w:ascii="Courier New" w:eastAsia="Courier New" w:hAnsi="Courier New" w:cs="Courier New"/>
                <w:b/>
                <w:sz w:val="16"/>
              </w:rPr>
              <w:t>venta(</w:t>
            </w:r>
            <w:proofErr w:type="spellStart"/>
            <w:proofErr w:type="gramEnd"/>
            <w:r>
              <w:rPr>
                <w:rFonts w:ascii="Courier New" w:eastAsia="Courier New" w:hAnsi="Courier New" w:cs="Courier New"/>
                <w:b/>
                <w:sz w:val="16"/>
              </w:rPr>
              <w:t>Ad,Co,El</w:t>
            </w:r>
            <w:proofErr w:type="spellEnd"/>
            <w:r>
              <w:rPr>
                <w:rFonts w:ascii="Courier New" w:eastAsia="Courier New" w:hAnsi="Courier New" w:cs="Courier New"/>
                <w:b/>
                <w:sz w:val="16"/>
              </w:rPr>
              <w:t>)</w:t>
            </w:r>
          </w:p>
          <w:p w14:paraId="62BAD261" w14:textId="77777777" w:rsidR="00A70531" w:rsidRDefault="00FF4CD5">
            <w:pPr>
              <w:spacing w:after="22" w:line="259" w:lineRule="auto"/>
              <w:ind w:left="0" w:firstLine="0"/>
            </w:pPr>
            <w:r>
              <w:rPr>
                <w:rFonts w:ascii="Courier New" w:eastAsia="Courier New" w:hAnsi="Courier New" w:cs="Courier New"/>
                <w:b/>
                <w:sz w:val="16"/>
              </w:rPr>
              <w:t>Ad</w:t>
            </w:r>
          </w:p>
          <w:p w14:paraId="3425ACA1" w14:textId="77777777" w:rsidR="00A70531" w:rsidRDefault="00FF4CD5">
            <w:pPr>
              <w:spacing w:after="1" w:line="281" w:lineRule="auto"/>
              <w:ind w:left="0" w:right="123" w:firstLine="0"/>
            </w:pPr>
            <w:r>
              <w:rPr>
                <w:rFonts w:ascii="Courier New" w:eastAsia="Courier New" w:hAnsi="Courier New" w:cs="Courier New"/>
                <w:sz w:val="16"/>
              </w:rPr>
              <w:t xml:space="preserve">El número de la orden, la fecha de orden, las direcciones de cobro y </w:t>
            </w:r>
            <w:proofErr w:type="gramStart"/>
            <w:r>
              <w:rPr>
                <w:rFonts w:ascii="Courier New" w:eastAsia="Courier New" w:hAnsi="Courier New" w:cs="Courier New"/>
                <w:sz w:val="16"/>
              </w:rPr>
              <w:t>envío,  el</w:t>
            </w:r>
            <w:proofErr w:type="gramEnd"/>
            <w:r>
              <w:rPr>
                <w:rFonts w:ascii="Courier New" w:eastAsia="Courier New" w:hAnsi="Courier New" w:cs="Courier New"/>
                <w:sz w:val="16"/>
              </w:rPr>
              <w:t xml:space="preserve"> subtotal, el valor de </w:t>
            </w:r>
            <w:proofErr w:type="spellStart"/>
            <w:r>
              <w:rPr>
                <w:rFonts w:ascii="Courier New" w:eastAsia="Courier New" w:hAnsi="Courier New" w:cs="Courier New"/>
                <w:sz w:val="16"/>
              </w:rPr>
              <w:t>imputestos</w:t>
            </w:r>
            <w:proofErr w:type="spellEnd"/>
            <w:r>
              <w:rPr>
                <w:rFonts w:ascii="Courier New" w:eastAsia="Courier New" w:hAnsi="Courier New" w:cs="Courier New"/>
                <w:sz w:val="16"/>
              </w:rPr>
              <w:t xml:space="preserve"> y el valor de envío se generan automáticamente. La dirección de</w:t>
            </w:r>
            <w:r>
              <w:rPr>
                <w:rFonts w:ascii="Courier New" w:eastAsia="Courier New" w:hAnsi="Courier New" w:cs="Courier New"/>
                <w:sz w:val="16"/>
              </w:rPr>
              <w:t xml:space="preserve"> cobro es la oficina principal del cliente. Si el cliente no tiene dirección de envío se envía también a la oficina principal. Si no se indica la fecha de vencimiento se consideran 30 días después de la fecha de orden.</w:t>
            </w:r>
          </w:p>
          <w:p w14:paraId="245C6AB7" w14:textId="77777777" w:rsidR="00A70531" w:rsidRDefault="00FF4CD5">
            <w:pPr>
              <w:spacing w:after="16" w:line="259" w:lineRule="auto"/>
              <w:ind w:left="0" w:firstLine="0"/>
            </w:pPr>
            <w:r>
              <w:rPr>
                <w:rFonts w:ascii="Courier New" w:eastAsia="Courier New" w:hAnsi="Courier New" w:cs="Courier New"/>
                <w:sz w:val="16"/>
              </w:rPr>
              <w:t>Si no se indica el porcentaje de impu</w:t>
            </w:r>
            <w:r>
              <w:rPr>
                <w:rFonts w:ascii="Courier New" w:eastAsia="Courier New" w:hAnsi="Courier New" w:cs="Courier New"/>
                <w:sz w:val="16"/>
              </w:rPr>
              <w:t>estos se asume un 12.5 %.</w:t>
            </w:r>
          </w:p>
          <w:p w14:paraId="0876BA3D" w14:textId="77777777" w:rsidR="00A70531" w:rsidRDefault="00FF4CD5">
            <w:pPr>
              <w:spacing w:after="5" w:line="282" w:lineRule="auto"/>
              <w:ind w:left="0" w:right="27" w:firstLine="0"/>
            </w:pPr>
            <w:r>
              <w:rPr>
                <w:rFonts w:ascii="Courier New" w:eastAsia="Courier New" w:hAnsi="Courier New" w:cs="Courier New"/>
                <w:sz w:val="16"/>
              </w:rPr>
              <w:t xml:space="preserve">El número del detalle de venta y el precio </w:t>
            </w:r>
            <w:proofErr w:type="gramStart"/>
            <w:r>
              <w:rPr>
                <w:rFonts w:ascii="Courier New" w:eastAsia="Courier New" w:hAnsi="Courier New" w:cs="Courier New"/>
                <w:sz w:val="16"/>
              </w:rPr>
              <w:t>unitario(</w:t>
            </w:r>
            <w:proofErr w:type="gramEnd"/>
            <w:r>
              <w:rPr>
                <w:rFonts w:ascii="Courier New" w:eastAsia="Courier New" w:hAnsi="Courier New" w:cs="Courier New"/>
                <w:sz w:val="16"/>
              </w:rPr>
              <w:t>precio de lista) se generan automáticamente. El valor de descuento máximo es de 10%. Si no se indica nada, se asume que el descuento es 0.</w:t>
            </w:r>
          </w:p>
          <w:p w14:paraId="4DD35BC6" w14:textId="77777777" w:rsidR="00A70531" w:rsidRDefault="00FF4CD5">
            <w:pPr>
              <w:spacing w:after="22" w:line="259" w:lineRule="auto"/>
              <w:ind w:left="0" w:firstLine="0"/>
            </w:pPr>
            <w:r>
              <w:rPr>
                <w:rFonts w:ascii="Courier New" w:eastAsia="Courier New" w:hAnsi="Courier New" w:cs="Courier New"/>
                <w:b/>
                <w:sz w:val="16"/>
              </w:rPr>
              <w:t>El</w:t>
            </w:r>
          </w:p>
          <w:p w14:paraId="40749BD0" w14:textId="77777777" w:rsidR="00A70531" w:rsidRDefault="00FF4CD5">
            <w:pPr>
              <w:spacing w:after="22" w:line="259" w:lineRule="auto"/>
              <w:ind w:left="0" w:firstLine="0"/>
            </w:pPr>
            <w:r>
              <w:rPr>
                <w:rFonts w:ascii="Courier New" w:eastAsia="Courier New" w:hAnsi="Courier New" w:cs="Courier New"/>
                <w:sz w:val="16"/>
              </w:rPr>
              <w:t>Las facturas no se pueden eliminar</w:t>
            </w:r>
          </w:p>
          <w:p w14:paraId="548A4F15" w14:textId="77777777" w:rsidR="00A70531" w:rsidRDefault="00FF4CD5">
            <w:pPr>
              <w:spacing w:after="22" w:line="259" w:lineRule="auto"/>
              <w:ind w:left="0" w:firstLine="0"/>
            </w:pPr>
            <w:r>
              <w:rPr>
                <w:rFonts w:ascii="Courier New" w:eastAsia="Courier New" w:hAnsi="Courier New" w:cs="Courier New"/>
                <w:b/>
                <w:sz w:val="16"/>
              </w:rPr>
              <w:t>M</w:t>
            </w:r>
            <w:r>
              <w:rPr>
                <w:rFonts w:ascii="Courier New" w:eastAsia="Courier New" w:hAnsi="Courier New" w:cs="Courier New"/>
                <w:b/>
                <w:sz w:val="16"/>
              </w:rPr>
              <w:t>o</w:t>
            </w:r>
          </w:p>
          <w:p w14:paraId="5908AE45" w14:textId="77777777" w:rsidR="00A70531" w:rsidRDefault="00FF4CD5">
            <w:pPr>
              <w:spacing w:after="22" w:line="259" w:lineRule="auto"/>
              <w:ind w:left="0" w:firstLine="0"/>
            </w:pPr>
            <w:r>
              <w:rPr>
                <w:rFonts w:ascii="Courier New" w:eastAsia="Courier New" w:hAnsi="Courier New" w:cs="Courier New"/>
                <w:sz w:val="16"/>
              </w:rPr>
              <w:t>Los únicos datos que se pueden modificar son el valor del flete. la fecha de envío.</w:t>
            </w:r>
          </w:p>
          <w:p w14:paraId="3D127E82" w14:textId="77777777" w:rsidR="00A70531" w:rsidRDefault="00FF4CD5">
            <w:pPr>
              <w:spacing w:after="0" w:line="259" w:lineRule="auto"/>
              <w:ind w:left="0" w:right="507" w:firstLine="0"/>
            </w:pPr>
            <w:r>
              <w:rPr>
                <w:rFonts w:ascii="Courier New" w:eastAsia="Courier New" w:hAnsi="Courier New" w:cs="Courier New"/>
                <w:b/>
                <w:sz w:val="16"/>
              </w:rPr>
              <w:t xml:space="preserve">Regla de negocio </w:t>
            </w:r>
            <w:r>
              <w:rPr>
                <w:rFonts w:ascii="Courier New" w:eastAsia="Courier New" w:hAnsi="Courier New" w:cs="Courier New"/>
                <w:sz w:val="16"/>
              </w:rPr>
              <w:t xml:space="preserve">Si se elimina un producto las ventas se mantienen con </w:t>
            </w:r>
            <w:proofErr w:type="spellStart"/>
            <w:r>
              <w:rPr>
                <w:rFonts w:ascii="Courier New" w:eastAsia="Courier New" w:hAnsi="Courier New" w:cs="Courier New"/>
                <w:sz w:val="16"/>
              </w:rPr>
              <w:t>codigo</w:t>
            </w:r>
            <w:proofErr w:type="spellEnd"/>
            <w:r>
              <w:rPr>
                <w:rFonts w:ascii="Courier New" w:eastAsia="Courier New" w:hAnsi="Courier New" w:cs="Courier New"/>
                <w:sz w:val="16"/>
              </w:rPr>
              <w:t xml:space="preserve"> de producto desconocido.</w:t>
            </w:r>
          </w:p>
        </w:tc>
      </w:tr>
    </w:tbl>
    <w:p w14:paraId="5EFCEC96" w14:textId="77777777" w:rsidR="00A70531" w:rsidRDefault="00FF4CD5">
      <w:pPr>
        <w:spacing w:after="135" w:line="259" w:lineRule="auto"/>
        <w:ind w:left="21"/>
      </w:pPr>
      <w:r>
        <w:rPr>
          <w:sz w:val="28"/>
        </w:rPr>
        <w:t>A. Adicionando restricciones declarativas.</w:t>
      </w:r>
    </w:p>
    <w:p w14:paraId="280D2E01" w14:textId="77777777" w:rsidR="00A70531" w:rsidRDefault="00FF4CD5">
      <w:pPr>
        <w:spacing w:line="348" w:lineRule="auto"/>
        <w:ind w:left="36"/>
      </w:pPr>
      <w:r>
        <w:t>Para proteger la base de datos vamos a implementar las restricciones que se pueden garantizar usando restricciones declarativa</w:t>
      </w:r>
      <w:r>
        <w:t>s.</w:t>
      </w:r>
    </w:p>
    <w:p w14:paraId="1CAAAB57" w14:textId="77777777" w:rsidR="00A70531" w:rsidRDefault="00FF4CD5">
      <w:pPr>
        <w:numPr>
          <w:ilvl w:val="0"/>
          <w:numId w:val="8"/>
        </w:numPr>
        <w:ind w:hanging="254"/>
      </w:pPr>
      <w:r>
        <w:t>Definir las restricciones declarativas</w:t>
      </w:r>
    </w:p>
    <w:p w14:paraId="5A7BED50" w14:textId="77777777" w:rsidR="00A70531" w:rsidRDefault="00FF4CD5">
      <w:pPr>
        <w:spacing w:after="12" w:line="259" w:lineRule="auto"/>
        <w:ind w:left="21"/>
      </w:pPr>
      <w:r>
        <w:rPr>
          <w:color w:val="006600"/>
          <w:sz w:val="16"/>
        </w:rPr>
        <w:t>(Atributos, Tuplas)</w:t>
      </w:r>
    </w:p>
    <w:p w14:paraId="5F4C058E" w14:textId="77777777" w:rsidR="00A70531" w:rsidRDefault="00FF4CD5">
      <w:pPr>
        <w:numPr>
          <w:ilvl w:val="0"/>
          <w:numId w:val="8"/>
        </w:numPr>
        <w:ind w:hanging="254"/>
      </w:pPr>
      <w:r>
        <w:t xml:space="preserve">Validar con casos significativos la protección de la base de datos, </w:t>
      </w:r>
      <w:proofErr w:type="spellStart"/>
      <w:r>
        <w:t>adicionecomentarios</w:t>
      </w:r>
      <w:proofErr w:type="spellEnd"/>
      <w:r>
        <w:t xml:space="preserve">. </w:t>
      </w:r>
    </w:p>
    <w:p w14:paraId="027DFD38" w14:textId="77777777" w:rsidR="00A70531" w:rsidRDefault="00FF4CD5">
      <w:pPr>
        <w:spacing w:after="389" w:line="259" w:lineRule="auto"/>
        <w:ind w:left="21"/>
      </w:pPr>
      <w:r>
        <w:rPr>
          <w:color w:val="006600"/>
          <w:sz w:val="16"/>
        </w:rPr>
        <w:t>(</w:t>
      </w:r>
      <w:proofErr w:type="spellStart"/>
      <w:r>
        <w:rPr>
          <w:color w:val="006600"/>
          <w:sz w:val="16"/>
        </w:rPr>
        <w:t>AtributosOK</w:t>
      </w:r>
      <w:proofErr w:type="spellEnd"/>
      <w:r>
        <w:rPr>
          <w:color w:val="006600"/>
          <w:sz w:val="16"/>
        </w:rPr>
        <w:t xml:space="preserve">, </w:t>
      </w:r>
      <w:proofErr w:type="spellStart"/>
      <w:r>
        <w:rPr>
          <w:color w:val="006600"/>
          <w:sz w:val="16"/>
        </w:rPr>
        <w:t>AtributosNoOK</w:t>
      </w:r>
      <w:proofErr w:type="spellEnd"/>
      <w:r>
        <w:rPr>
          <w:color w:val="006600"/>
          <w:sz w:val="16"/>
        </w:rPr>
        <w:t xml:space="preserve">, </w:t>
      </w:r>
      <w:proofErr w:type="spellStart"/>
      <w:r>
        <w:rPr>
          <w:color w:val="006600"/>
          <w:sz w:val="16"/>
        </w:rPr>
        <w:t>TuplasOK</w:t>
      </w:r>
      <w:proofErr w:type="spellEnd"/>
      <w:r>
        <w:rPr>
          <w:color w:val="006600"/>
          <w:sz w:val="16"/>
        </w:rPr>
        <w:t xml:space="preserve">, </w:t>
      </w:r>
      <w:proofErr w:type="spellStart"/>
      <w:r>
        <w:rPr>
          <w:color w:val="006600"/>
          <w:sz w:val="16"/>
        </w:rPr>
        <w:t>TuplasNoOK</w:t>
      </w:r>
      <w:proofErr w:type="spellEnd"/>
      <w:r>
        <w:rPr>
          <w:color w:val="006600"/>
          <w:sz w:val="16"/>
        </w:rPr>
        <w:t>)</w:t>
      </w:r>
    </w:p>
    <w:p w14:paraId="3667FEA6" w14:textId="77777777" w:rsidR="00A70531" w:rsidRDefault="00FF4CD5">
      <w:pPr>
        <w:pStyle w:val="Ttulo1"/>
        <w:spacing w:after="15"/>
        <w:ind w:left="21"/>
      </w:pPr>
      <w:r>
        <w:rPr>
          <w:b w:val="0"/>
          <w:sz w:val="28"/>
        </w:rPr>
        <w:t>B. Adicionando acciones de referencia</w:t>
      </w:r>
    </w:p>
    <w:p w14:paraId="4EA0EDB7" w14:textId="77777777" w:rsidR="00A70531" w:rsidRDefault="00FF4CD5">
      <w:pPr>
        <w:ind w:left="36" w:right="815"/>
      </w:pPr>
      <w:r>
        <w:t xml:space="preserve">Para proteger la base de datos vamos a implementar las acciones de referencia necesarias para el caso de uso. 1. Definir las acciones de referencia </w:t>
      </w:r>
    </w:p>
    <w:p w14:paraId="0ECC53EF" w14:textId="77777777" w:rsidR="00A70531" w:rsidRDefault="00FF4CD5">
      <w:pPr>
        <w:ind w:left="36"/>
      </w:pPr>
      <w:r>
        <w:t>(Deben eliminar y volver a crear las FK afectadas)</w:t>
      </w:r>
    </w:p>
    <w:p w14:paraId="4FBCB21E" w14:textId="77777777" w:rsidR="00A70531" w:rsidRDefault="00FF4CD5">
      <w:pPr>
        <w:spacing w:after="12" w:line="259" w:lineRule="auto"/>
        <w:ind w:left="21"/>
      </w:pPr>
      <w:r>
        <w:rPr>
          <w:color w:val="006600"/>
          <w:sz w:val="16"/>
        </w:rPr>
        <w:t>(Acciones)</w:t>
      </w:r>
    </w:p>
    <w:p w14:paraId="150A0EE1" w14:textId="77777777" w:rsidR="00A70531" w:rsidRDefault="00FF4CD5">
      <w:pPr>
        <w:ind w:left="36"/>
      </w:pPr>
      <w:r>
        <w:t>2. Vali</w:t>
      </w:r>
      <w:r>
        <w:t>dar con casos significativos las condiciones definidas</w:t>
      </w:r>
    </w:p>
    <w:p w14:paraId="3DE98962" w14:textId="77777777" w:rsidR="00A70531" w:rsidRDefault="00FF4CD5">
      <w:pPr>
        <w:spacing w:after="389" w:line="259" w:lineRule="auto"/>
        <w:ind w:left="21"/>
      </w:pPr>
      <w:r>
        <w:rPr>
          <w:color w:val="006600"/>
          <w:sz w:val="16"/>
        </w:rPr>
        <w:lastRenderedPageBreak/>
        <w:t>(</w:t>
      </w:r>
      <w:proofErr w:type="spellStart"/>
      <w:r>
        <w:rPr>
          <w:color w:val="006600"/>
          <w:sz w:val="16"/>
        </w:rPr>
        <w:t>AccionesOK</w:t>
      </w:r>
      <w:proofErr w:type="spellEnd"/>
      <w:r>
        <w:rPr>
          <w:color w:val="006600"/>
          <w:sz w:val="16"/>
        </w:rPr>
        <w:t>)</w:t>
      </w:r>
    </w:p>
    <w:p w14:paraId="43483E8E" w14:textId="77777777" w:rsidR="00A70531" w:rsidRDefault="00FF4CD5">
      <w:pPr>
        <w:pStyle w:val="Ttulo1"/>
        <w:spacing w:after="15"/>
        <w:ind w:left="21"/>
      </w:pPr>
      <w:r>
        <w:rPr>
          <w:b w:val="0"/>
          <w:sz w:val="28"/>
        </w:rPr>
        <w:t>C. Adicionando disparadores</w:t>
      </w:r>
    </w:p>
    <w:p w14:paraId="4594B224" w14:textId="77777777" w:rsidR="00A70531" w:rsidRDefault="00FF4CD5">
      <w:pPr>
        <w:ind w:left="36"/>
      </w:pPr>
      <w:r>
        <w:t>Para preparar las acciones asociadas a los diferentes casos de uso vamos a implementar algunos disparadores (CRUD).</w:t>
      </w:r>
    </w:p>
    <w:p w14:paraId="7482DFC6" w14:textId="77777777" w:rsidR="00A70531" w:rsidRDefault="00FF4CD5">
      <w:pPr>
        <w:ind w:left="36"/>
      </w:pPr>
      <w:r>
        <w:t>Use los siguientes nombres para los disparad</w:t>
      </w:r>
      <w:r>
        <w:t>ores que necesite.</w:t>
      </w:r>
    </w:p>
    <w:p w14:paraId="5BCFA0D2" w14:textId="77777777" w:rsidR="00A70531" w:rsidRPr="001C2B56" w:rsidRDefault="00FF4CD5">
      <w:pPr>
        <w:ind w:left="36"/>
        <w:rPr>
          <w:lang w:val="en-US"/>
        </w:rPr>
      </w:pPr>
      <w:proofErr w:type="spellStart"/>
      <w:proofErr w:type="gramStart"/>
      <w:r w:rsidRPr="001C2B56">
        <w:rPr>
          <w:lang w:val="en-US"/>
        </w:rPr>
        <w:t>Disparadores</w:t>
      </w:r>
      <w:proofErr w:type="spellEnd"/>
      <w:r w:rsidRPr="001C2B56">
        <w:rPr>
          <w:lang w:val="en-US"/>
        </w:rPr>
        <w:t xml:space="preserve"> :</w:t>
      </w:r>
      <w:proofErr w:type="gramEnd"/>
      <w:r w:rsidRPr="001C2B56">
        <w:rPr>
          <w:lang w:val="en-US"/>
        </w:rPr>
        <w:t xml:space="preserve"> </w:t>
      </w:r>
      <w:proofErr w:type="spellStart"/>
      <w:r w:rsidRPr="001C2B56">
        <w:rPr>
          <w:lang w:val="en-US"/>
        </w:rPr>
        <w:t>Ad_HEADER</w:t>
      </w:r>
      <w:proofErr w:type="spellEnd"/>
      <w:r w:rsidRPr="001C2B56">
        <w:rPr>
          <w:lang w:val="en-US"/>
        </w:rPr>
        <w:t xml:space="preserve">, </w:t>
      </w:r>
      <w:proofErr w:type="spellStart"/>
      <w:r w:rsidRPr="001C2B56">
        <w:rPr>
          <w:lang w:val="en-US"/>
        </w:rPr>
        <w:t>Mo_HEADER</w:t>
      </w:r>
      <w:proofErr w:type="spellEnd"/>
      <w:r w:rsidRPr="001C2B56">
        <w:rPr>
          <w:lang w:val="en-US"/>
        </w:rPr>
        <w:t xml:space="preserve">, </w:t>
      </w:r>
      <w:proofErr w:type="spellStart"/>
      <w:r w:rsidRPr="001C2B56">
        <w:rPr>
          <w:lang w:val="en-US"/>
        </w:rPr>
        <w:t>El_HEADER</w:t>
      </w:r>
      <w:proofErr w:type="spellEnd"/>
    </w:p>
    <w:p w14:paraId="475975B9" w14:textId="77777777" w:rsidR="00A70531" w:rsidRDefault="00FF4CD5">
      <w:pPr>
        <w:ind w:left="36" w:right="3576"/>
      </w:pPr>
      <w:r w:rsidRPr="001C2B56">
        <w:rPr>
          <w:lang w:val="en-US"/>
        </w:rPr>
        <w:t xml:space="preserve">                        </w:t>
      </w:r>
      <w:proofErr w:type="spellStart"/>
      <w:r>
        <w:t>Ad_</w:t>
      </w:r>
      <w:proofErr w:type="gramStart"/>
      <w:r>
        <w:t>DETAIL,Mo</w:t>
      </w:r>
      <w:proofErr w:type="gramEnd"/>
      <w:r>
        <w:t>_DETAIL,El_DETAIL</w:t>
      </w:r>
      <w:proofErr w:type="spellEnd"/>
      <w:r>
        <w:t xml:space="preserve"> Para cada uno de ellos:</w:t>
      </w:r>
    </w:p>
    <w:p w14:paraId="4E062774" w14:textId="77777777" w:rsidR="00A70531" w:rsidRDefault="00FF4CD5">
      <w:pPr>
        <w:numPr>
          <w:ilvl w:val="0"/>
          <w:numId w:val="9"/>
        </w:numPr>
        <w:ind w:hanging="254"/>
      </w:pPr>
      <w:r>
        <w:t>Escriba las instrucciones necesarias para crear y eliminar el disparador</w:t>
      </w:r>
    </w:p>
    <w:p w14:paraId="5D246089" w14:textId="77777777" w:rsidR="00A70531" w:rsidRDefault="00FF4CD5">
      <w:pPr>
        <w:spacing w:after="12" w:line="259" w:lineRule="auto"/>
        <w:ind w:left="21"/>
      </w:pPr>
      <w:proofErr w:type="gramStart"/>
      <w:r>
        <w:rPr>
          <w:color w:val="006600"/>
          <w:sz w:val="16"/>
        </w:rPr>
        <w:t>( Disparadores</w:t>
      </w:r>
      <w:proofErr w:type="gramEnd"/>
      <w:r>
        <w:rPr>
          <w:color w:val="006600"/>
          <w:sz w:val="16"/>
        </w:rPr>
        <w:t xml:space="preserve"> – </w:t>
      </w:r>
      <w:proofErr w:type="spellStart"/>
      <w:r>
        <w:rPr>
          <w:color w:val="006600"/>
          <w:sz w:val="16"/>
        </w:rPr>
        <w:t>Xdisparadores</w:t>
      </w:r>
      <w:proofErr w:type="spellEnd"/>
      <w:r>
        <w:rPr>
          <w:color w:val="006600"/>
          <w:sz w:val="16"/>
        </w:rPr>
        <w:t xml:space="preserve"> )</w:t>
      </w:r>
    </w:p>
    <w:p w14:paraId="579847FA" w14:textId="77777777" w:rsidR="00A70531" w:rsidRDefault="00FF4CD5">
      <w:pPr>
        <w:numPr>
          <w:ilvl w:val="0"/>
          <w:numId w:val="9"/>
        </w:numPr>
        <w:ind w:hanging="254"/>
      </w:pPr>
      <w:r>
        <w:t>Escrib</w:t>
      </w:r>
      <w:r>
        <w:t xml:space="preserve">a 3 instrucciones que permitan probar la actualización de la base de </w:t>
      </w:r>
      <w:proofErr w:type="spellStart"/>
      <w:r>
        <w:t>datoshaciendo</w:t>
      </w:r>
      <w:proofErr w:type="spellEnd"/>
      <w:r>
        <w:t xml:space="preserve"> uso de cada disparador, cuando sea pertinente.</w:t>
      </w:r>
    </w:p>
    <w:p w14:paraId="080E245B" w14:textId="77777777" w:rsidR="00A70531" w:rsidRDefault="00FF4CD5">
      <w:pPr>
        <w:spacing w:after="12" w:line="259" w:lineRule="auto"/>
        <w:ind w:left="21"/>
      </w:pPr>
      <w:proofErr w:type="gramStart"/>
      <w:r>
        <w:rPr>
          <w:color w:val="006600"/>
          <w:sz w:val="16"/>
        </w:rPr>
        <w:t xml:space="preserve">( </w:t>
      </w:r>
      <w:proofErr w:type="spellStart"/>
      <w:r>
        <w:rPr>
          <w:color w:val="006600"/>
          <w:sz w:val="16"/>
        </w:rPr>
        <w:t>DisparadoresOK</w:t>
      </w:r>
      <w:proofErr w:type="spellEnd"/>
      <w:proofErr w:type="gramEnd"/>
      <w:r>
        <w:rPr>
          <w:color w:val="006600"/>
          <w:sz w:val="16"/>
        </w:rPr>
        <w:t xml:space="preserve"> )</w:t>
      </w:r>
    </w:p>
    <w:p w14:paraId="21956511" w14:textId="77777777" w:rsidR="00A70531" w:rsidRDefault="00FF4CD5">
      <w:pPr>
        <w:numPr>
          <w:ilvl w:val="0"/>
          <w:numId w:val="9"/>
        </w:numPr>
        <w:ind w:hanging="254"/>
      </w:pPr>
      <w:r>
        <w:t xml:space="preserve">Escriban 3 instrucciones por disparador para validar que protege la base </w:t>
      </w:r>
      <w:proofErr w:type="spellStart"/>
      <w:r>
        <w:t>dedatos</w:t>
      </w:r>
      <w:proofErr w:type="spellEnd"/>
      <w:r>
        <w:t xml:space="preserve"> impidiendo que se actualice, cuando sea pertinente. </w:t>
      </w:r>
    </w:p>
    <w:p w14:paraId="7B5304E1" w14:textId="77777777" w:rsidR="00A70531" w:rsidRDefault="00FF4CD5">
      <w:pPr>
        <w:spacing w:after="12" w:line="259" w:lineRule="auto"/>
        <w:ind w:left="21"/>
      </w:pPr>
      <w:r>
        <w:rPr>
          <w:color w:val="006600"/>
          <w:sz w:val="16"/>
        </w:rPr>
        <w:t>(</w:t>
      </w:r>
      <w:proofErr w:type="spellStart"/>
      <w:r>
        <w:rPr>
          <w:color w:val="006600"/>
          <w:sz w:val="16"/>
        </w:rPr>
        <w:t>DisparadoresNoOK</w:t>
      </w:r>
      <w:proofErr w:type="spellEnd"/>
      <w:r>
        <w:rPr>
          <w:color w:val="006600"/>
          <w:sz w:val="16"/>
        </w:rPr>
        <w:t xml:space="preserve"> </w:t>
      </w:r>
    </w:p>
    <w:sectPr w:rsidR="00A70531">
      <w:pgSz w:w="12240" w:h="15840"/>
      <w:pgMar w:top="1255" w:right="1702" w:bottom="1436" w:left="16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171E"/>
    <w:multiLevelType w:val="hybridMultilevel"/>
    <w:tmpl w:val="3DF2CD2E"/>
    <w:lvl w:ilvl="0" w:tplc="12E8A586">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4CE628">
      <w:start w:val="1"/>
      <w:numFmt w:val="lowerLetter"/>
      <w:lvlText w:val="%2"/>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5859B4">
      <w:start w:val="1"/>
      <w:numFmt w:val="lowerRoman"/>
      <w:lvlText w:val="%3"/>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A2F666">
      <w:start w:val="1"/>
      <w:numFmt w:val="decimal"/>
      <w:lvlText w:val="%4"/>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5C67EA">
      <w:start w:val="1"/>
      <w:numFmt w:val="lowerLetter"/>
      <w:lvlText w:val="%5"/>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6466C2">
      <w:start w:val="1"/>
      <w:numFmt w:val="lowerRoman"/>
      <w:lvlText w:val="%6"/>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8462ED6">
      <w:start w:val="1"/>
      <w:numFmt w:val="decimal"/>
      <w:lvlText w:val="%7"/>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508AEC">
      <w:start w:val="1"/>
      <w:numFmt w:val="lowerLetter"/>
      <w:lvlText w:val="%8"/>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E96D1A6">
      <w:start w:val="1"/>
      <w:numFmt w:val="lowerRoman"/>
      <w:lvlText w:val="%9"/>
      <w:lvlJc w:val="left"/>
      <w:pPr>
        <w:ind w:left="6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B94464"/>
    <w:multiLevelType w:val="hybridMultilevel"/>
    <w:tmpl w:val="C726B3C8"/>
    <w:lvl w:ilvl="0" w:tplc="844A93A4">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86D1A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C05608">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7A4E0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60F7F2">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2D6B7FE">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FA1E3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94EC0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C270FC">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D94B42"/>
    <w:multiLevelType w:val="hybridMultilevel"/>
    <w:tmpl w:val="E57C6760"/>
    <w:lvl w:ilvl="0" w:tplc="3560074E">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5CEA9A">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2D435E6">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827DD0">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EA484A">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C23952">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308D7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56E42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4C4574">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8D7FE4"/>
    <w:multiLevelType w:val="hybridMultilevel"/>
    <w:tmpl w:val="5FDAC7A0"/>
    <w:lvl w:ilvl="0" w:tplc="EC7041EE">
      <w:start w:val="1"/>
      <w:numFmt w:val="decimal"/>
      <w:lvlText w:val="%1."/>
      <w:lvlJc w:val="left"/>
      <w:pPr>
        <w:ind w:left="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E6C35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2CB33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70BAC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98DE5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762D1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4820D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82C85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7C199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F872B1"/>
    <w:multiLevelType w:val="hybridMultilevel"/>
    <w:tmpl w:val="7AFC7710"/>
    <w:lvl w:ilvl="0" w:tplc="2E027604">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A0476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1E4F76">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66A860">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42488E">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483D5C">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0C10DC">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740EF0">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349EF0">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083428C"/>
    <w:multiLevelType w:val="hybridMultilevel"/>
    <w:tmpl w:val="51B62720"/>
    <w:lvl w:ilvl="0" w:tplc="542A56F6">
      <w:start w:val="1"/>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DBCA61E">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A00468">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54F660">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458C3FA">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864DF4">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D069F6">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90C418">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26294A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F70E4F"/>
    <w:multiLevelType w:val="hybridMultilevel"/>
    <w:tmpl w:val="254E8738"/>
    <w:lvl w:ilvl="0" w:tplc="FE6E6548">
      <w:start w:val="1"/>
      <w:numFmt w:val="decimal"/>
      <w:lvlText w:val="%1."/>
      <w:lvlJc w:val="left"/>
      <w:pPr>
        <w:ind w:left="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82C5A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10C24D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D6119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30F6F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72A91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D8CD5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B8C21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F30DE7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F42800"/>
    <w:multiLevelType w:val="hybridMultilevel"/>
    <w:tmpl w:val="8BACE4A4"/>
    <w:lvl w:ilvl="0" w:tplc="119E30C6">
      <w:start w:val="1"/>
      <w:numFmt w:val="decimal"/>
      <w:lvlText w:val="%1."/>
      <w:lvlJc w:val="left"/>
      <w:pPr>
        <w:ind w:left="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7B0955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1E830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8626D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164F7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AACC78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B63D2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82D8B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76912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701FDB"/>
    <w:multiLevelType w:val="hybridMultilevel"/>
    <w:tmpl w:val="BE9603AA"/>
    <w:lvl w:ilvl="0" w:tplc="0C3A8EA0">
      <w:start w:val="1"/>
      <w:numFmt w:val="decimal"/>
      <w:lvlText w:val="%1."/>
      <w:lvlJc w:val="left"/>
      <w:pPr>
        <w:ind w:left="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D6743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56A39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6A0A9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F2462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36991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7E371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12407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0A710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223165"/>
    <w:multiLevelType w:val="hybridMultilevel"/>
    <w:tmpl w:val="6BAE9036"/>
    <w:lvl w:ilvl="0" w:tplc="240A0001">
      <w:start w:val="1"/>
      <w:numFmt w:val="bullet"/>
      <w:lvlText w:val=""/>
      <w:lvlJc w:val="left"/>
      <w:pPr>
        <w:ind w:left="1451" w:hanging="360"/>
      </w:pPr>
      <w:rPr>
        <w:rFonts w:ascii="Symbol" w:hAnsi="Symbol" w:hint="default"/>
      </w:rPr>
    </w:lvl>
    <w:lvl w:ilvl="1" w:tplc="240A0003" w:tentative="1">
      <w:start w:val="1"/>
      <w:numFmt w:val="bullet"/>
      <w:lvlText w:val="o"/>
      <w:lvlJc w:val="left"/>
      <w:pPr>
        <w:ind w:left="2171" w:hanging="360"/>
      </w:pPr>
      <w:rPr>
        <w:rFonts w:ascii="Courier New" w:hAnsi="Courier New" w:cs="Courier New" w:hint="default"/>
      </w:rPr>
    </w:lvl>
    <w:lvl w:ilvl="2" w:tplc="240A0005" w:tentative="1">
      <w:start w:val="1"/>
      <w:numFmt w:val="bullet"/>
      <w:lvlText w:val=""/>
      <w:lvlJc w:val="left"/>
      <w:pPr>
        <w:ind w:left="2891" w:hanging="360"/>
      </w:pPr>
      <w:rPr>
        <w:rFonts w:ascii="Wingdings" w:hAnsi="Wingdings" w:hint="default"/>
      </w:rPr>
    </w:lvl>
    <w:lvl w:ilvl="3" w:tplc="240A0001" w:tentative="1">
      <w:start w:val="1"/>
      <w:numFmt w:val="bullet"/>
      <w:lvlText w:val=""/>
      <w:lvlJc w:val="left"/>
      <w:pPr>
        <w:ind w:left="3611" w:hanging="360"/>
      </w:pPr>
      <w:rPr>
        <w:rFonts w:ascii="Symbol" w:hAnsi="Symbol" w:hint="default"/>
      </w:rPr>
    </w:lvl>
    <w:lvl w:ilvl="4" w:tplc="240A0003" w:tentative="1">
      <w:start w:val="1"/>
      <w:numFmt w:val="bullet"/>
      <w:lvlText w:val="o"/>
      <w:lvlJc w:val="left"/>
      <w:pPr>
        <w:ind w:left="4331" w:hanging="360"/>
      </w:pPr>
      <w:rPr>
        <w:rFonts w:ascii="Courier New" w:hAnsi="Courier New" w:cs="Courier New" w:hint="default"/>
      </w:rPr>
    </w:lvl>
    <w:lvl w:ilvl="5" w:tplc="240A0005" w:tentative="1">
      <w:start w:val="1"/>
      <w:numFmt w:val="bullet"/>
      <w:lvlText w:val=""/>
      <w:lvlJc w:val="left"/>
      <w:pPr>
        <w:ind w:left="5051" w:hanging="360"/>
      </w:pPr>
      <w:rPr>
        <w:rFonts w:ascii="Wingdings" w:hAnsi="Wingdings" w:hint="default"/>
      </w:rPr>
    </w:lvl>
    <w:lvl w:ilvl="6" w:tplc="240A0001" w:tentative="1">
      <w:start w:val="1"/>
      <w:numFmt w:val="bullet"/>
      <w:lvlText w:val=""/>
      <w:lvlJc w:val="left"/>
      <w:pPr>
        <w:ind w:left="5771" w:hanging="360"/>
      </w:pPr>
      <w:rPr>
        <w:rFonts w:ascii="Symbol" w:hAnsi="Symbol" w:hint="default"/>
      </w:rPr>
    </w:lvl>
    <w:lvl w:ilvl="7" w:tplc="240A0003" w:tentative="1">
      <w:start w:val="1"/>
      <w:numFmt w:val="bullet"/>
      <w:lvlText w:val="o"/>
      <w:lvlJc w:val="left"/>
      <w:pPr>
        <w:ind w:left="6491" w:hanging="360"/>
      </w:pPr>
      <w:rPr>
        <w:rFonts w:ascii="Courier New" w:hAnsi="Courier New" w:cs="Courier New" w:hint="default"/>
      </w:rPr>
    </w:lvl>
    <w:lvl w:ilvl="8" w:tplc="240A0005" w:tentative="1">
      <w:start w:val="1"/>
      <w:numFmt w:val="bullet"/>
      <w:lvlText w:val=""/>
      <w:lvlJc w:val="left"/>
      <w:pPr>
        <w:ind w:left="7211" w:hanging="360"/>
      </w:pPr>
      <w:rPr>
        <w:rFonts w:ascii="Wingdings" w:hAnsi="Wingdings" w:hint="default"/>
      </w:rPr>
    </w:lvl>
  </w:abstractNum>
  <w:num w:numId="1">
    <w:abstractNumId w:val="3"/>
  </w:num>
  <w:num w:numId="2">
    <w:abstractNumId w:val="1"/>
  </w:num>
  <w:num w:numId="3">
    <w:abstractNumId w:val="8"/>
  </w:num>
  <w:num w:numId="4">
    <w:abstractNumId w:val="5"/>
  </w:num>
  <w:num w:numId="5">
    <w:abstractNumId w:val="0"/>
  </w:num>
  <w:num w:numId="6">
    <w:abstractNumId w:val="2"/>
  </w:num>
  <w:num w:numId="7">
    <w:abstractNumId w:val="4"/>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31"/>
    <w:rsid w:val="001C2B56"/>
    <w:rsid w:val="00A24826"/>
    <w:rsid w:val="00A70531"/>
    <w:rsid w:val="00C933FD"/>
    <w:rsid w:val="00FF4C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797A"/>
  <w15:docId w15:val="{DB4E63A4-CD4C-4BFD-998F-FE0AE12B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396" w:hanging="10"/>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36" w:hanging="10"/>
      <w:outlineLvl w:val="0"/>
    </w:pPr>
    <w:rPr>
      <w:rFonts w:ascii="Calibri" w:eastAsia="Calibri" w:hAnsi="Calibri" w:cs="Calibri"/>
      <w:b/>
      <w:color w:val="000000"/>
      <w:sz w:val="20"/>
    </w:rPr>
  </w:style>
  <w:style w:type="paragraph" w:styleId="Ttulo3">
    <w:name w:val="heading 3"/>
    <w:basedOn w:val="Normal"/>
    <w:next w:val="Normal"/>
    <w:link w:val="Ttulo3Car"/>
    <w:uiPriority w:val="9"/>
    <w:semiHidden/>
    <w:unhideWhenUsed/>
    <w:qFormat/>
    <w:rsid w:val="00C93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C933FD"/>
    <w:pPr>
      <w:ind w:left="720"/>
      <w:contextualSpacing/>
    </w:pPr>
  </w:style>
  <w:style w:type="character" w:customStyle="1" w:styleId="Ttulo3Car">
    <w:name w:val="Título 3 Car"/>
    <w:basedOn w:val="Fuentedeprrafopredeter"/>
    <w:link w:val="Ttulo3"/>
    <w:uiPriority w:val="9"/>
    <w:semiHidden/>
    <w:rsid w:val="00C933FD"/>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C933FD"/>
    <w:rPr>
      <w:color w:val="0563C1" w:themeColor="hyperlink"/>
      <w:u w:val="single"/>
    </w:rPr>
  </w:style>
  <w:style w:type="character" w:styleId="Mencinsinresolver">
    <w:name w:val="Unresolved Mention"/>
    <w:basedOn w:val="Fuentedeprrafopredeter"/>
    <w:uiPriority w:val="99"/>
    <w:semiHidden/>
    <w:unhideWhenUsed/>
    <w:rsid w:val="00C9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070168">
      <w:bodyDiv w:val="1"/>
      <w:marLeft w:val="0"/>
      <w:marRight w:val="0"/>
      <w:marTop w:val="0"/>
      <w:marBottom w:val="0"/>
      <w:divBdr>
        <w:top w:val="none" w:sz="0" w:space="0" w:color="auto"/>
        <w:left w:val="none" w:sz="0" w:space="0" w:color="auto"/>
        <w:bottom w:val="none" w:sz="0" w:space="0" w:color="auto"/>
        <w:right w:val="none" w:sz="0" w:space="0" w:color="auto"/>
      </w:divBdr>
    </w:div>
    <w:div w:id="1311400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pusvirtual.escuelaing.edu.co/moodle/mod/wiki/view.php?pageid=1083" TargetMode="External"/><Relationship Id="rId5" Type="http://schemas.openxmlformats.org/officeDocument/2006/relationships/hyperlink" Target="http://campusvirtual.escuelaing.edu.co/moodle/mod/wiki/view.php?pageid=108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1529</Words>
  <Characters>8411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PROGRAMACIÓN ORIENTADA A OBJETOS 1</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Andres Martinez Velasquez</cp:lastModifiedBy>
  <cp:revision>3</cp:revision>
  <dcterms:created xsi:type="dcterms:W3CDTF">2020-03-10T06:23:00Z</dcterms:created>
  <dcterms:modified xsi:type="dcterms:W3CDTF">2020-03-10T06:23:00Z</dcterms:modified>
</cp:coreProperties>
</file>