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rPr>
        <w:t>UNIVERSIDAD DE SANTIAGO DE CHILE</w:t>
      </w:r>
    </w:p>
    <w:p>
      <w:pPr>
        <w:widowControl/>
      </w:pPr>
      <w:r>
        <w:rPr>
          <w:b w:val="0"/>
        </w:rPr>
        <w:t>Ingeniería Comercial   Mención Economía</w:t>
        <w:br/>
        <w:t>Electivo Política Económica</w:t>
      </w:r>
    </w:p>
    <w:p>
      <w:pPr>
        <w:pStyle w:val="Title"/>
      </w:pPr>
      <w:r>
        <w:t>Análisis por género y edad del desempleo en Chile en los últimos años</w:t>
      </w:r>
    </w:p>
    <w:p>
      <w:pPr>
        <w:pStyle w:val="Subtitle"/>
      </w:pPr>
      <w:r>
        <w:t>Revisión de efectos de las políticas de empleo aplicadas</w:t>
      </w:r>
    </w:p>
    <w:p>
      <w:pPr>
        <w:widowControl/>
      </w:pPr>
      <w:r>
        <w:rPr>
          <w:b/>
        </w:rPr>
        <w:t>Informe de avance y propuesta de ampliación 2010 a 2025</w:t>
      </w:r>
    </w:p>
    <w:p>
      <w:pPr>
        <w:widowControl/>
      </w:pPr>
      <w:r>
        <w:rPr>
          <w:b w:val="0"/>
        </w:rPr>
        <w:t>Andrés Barreda</w:t>
        <w:br/>
        <w:t>Profesor Víctor Alexis Salas Opazo</w:t>
        <w:br/>
        <w:t>29 de octubre de 2026</w:t>
      </w:r>
    </w:p>
    <w:p>
      <w:pPr>
        <w:pStyle w:val="Heading1"/>
      </w:pPr>
      <w:r>
        <w:t>Síntesis del avance</w:t>
      </w:r>
    </w:p>
    <w:p>
      <w:pPr>
        <w:widowControl/>
      </w:pPr>
      <w:r>
        <w:rPr>
          <w:b w:val="0"/>
        </w:rPr>
        <w:t>El estudio amplía su alcance a los cortes abril–junio de 2010–2025. La comparación entre 2019 y 2025 se conserva como referencia de recuperación, dentro de una trayectoria más larga. El análisis describirá primero empleo, desocupación y participación por sexo y edad, junto con la composición sectorial; después examinará el contexto macroeconómico y las políticas de empleo.</w:t>
      </w:r>
    </w:p>
    <w:p>
      <w:pPr>
        <w:widowControl/>
      </w:pPr>
      <w:r>
        <w:rPr>
          <w:b w:val="0"/>
        </w:rPr>
        <w:t>Las sugerencias recibidas aportan una organización útil e incorporan la dimensión socioeconómica. Esta última requiere una definición y variables verificables. El bajo crecimiento económico se plantea como hipótesis de asociación con el mercado laboral, junto con la inversión, la participación y otros mecanismos; su importancia no puede darse por demostrada antes de analizar los datos.</w:t>
      </w:r>
    </w:p>
    <w:p>
      <w:pPr>
        <w:widowControl/>
      </w:pPr>
      <w:r>
        <w:rPr>
          <w:b w:val="0"/>
        </w:rPr>
        <w:t>La presentación inicial expone una estrategia de investigación, sin tasas ponderadas como resultados. Los scripts 01–05 están disponibles para revisión técnica, pero sus productos históricos aún deben incorporarse para sustentar el informe empírico. Las etapas 06 y 07 cuentan con programas de preparación y revisión metodológica; siguen pendientes los insumos laborales, macroeconómicos y documentales necesarios para cerrar sus resultados.</w:t>
      </w:r>
    </w:p>
    <w:p>
      <w:pPr>
        <w:pStyle w:val="Heading1"/>
        <w:pageBreakBefore/>
      </w:pPr>
      <w:r>
        <w:t>Pregunta de investigación y criterios de medición</w:t>
      </w:r>
    </w:p>
    <w:p>
      <w:pPr>
        <w:pStyle w:val="Heading2"/>
      </w:pPr>
      <w:r>
        <w:t>Pregunta revisada</w:t>
      </w:r>
    </w:p>
    <w:p>
      <w:pPr>
        <w:widowControl/>
      </w:pPr>
      <w:r>
        <w:rPr>
          <w:b w:val="0"/>
        </w:rPr>
        <w:t>¿Cómo evolucionaron el empleo, la desocupación y la participación laboral en Chile durante los cortes abril–junio de 2010–2025, qué diferencias se observan por sexo y edad y en la composición sectorial, y qué asociaciones pueden examinarse con el contexto macroeconómico y las políticas de empleo?</w:t>
      </w:r>
    </w:p>
    <w:p>
      <w:pPr>
        <w:widowControl/>
      </w:pPr>
      <w:r>
        <w:rPr>
          <w:b w:val="0"/>
        </w:rPr>
        <w:t>El objetivo descriptivo es identificar cambios y brechas entre grupos, incluyendo su posición en 2025 respecto de 2019. El objetivo explicativo es contrastar mecanismos plausibles y evidencia externa, manteniendo separadas la evolución observada, la asociación estadística y la atribución causal.</w:t>
      </w:r>
    </w:p>
    <w:p>
      <w:pPr>
        <w:pStyle w:val="Heading2"/>
      </w:pPr>
      <w:r>
        <w:t>Datos y unidades de análisis</w:t>
      </w:r>
    </w:p>
    <w:p>
      <w:pPr>
        <w:widowControl/>
      </w:pPr>
      <w:r>
        <w:rPr>
          <w:b w:val="0"/>
        </w:rPr>
        <w:t>La fuente laboral principal son los microdatos de la Encuesta Nacional de Empleo del INE. Se estudia la población de 15 años o más mediante cortes del mismo trimestre en distintos años. AMJ no es un promedio anual ni equivale a ajuste estacional. Los cortes no siguen necesariamente a las mismas personas; 2026 queda separado del período principal.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2952"/>
        <w:gridCol w:w="4896"/>
      </w:tblGrid>
      <w:tr>
        <w:trPr>
          <w:tblHeader/>
          <w:cantSplit/>
        </w:trPr>
        <w:tc>
          <w:tcPr>
            <w:tcW w:type="dxa" w:w="1800"/>
            <w:vAlign w:val="center"/>
            <w:tcMar>
              <w:top w:w="75" w:type="dxa"/>
              <w:bottom w:w="75" w:type="dxa"/>
              <w:left w:w="100" w:type="dxa"/>
              <w:right w:w="100" w:type="dxa"/>
            </w:tcMar>
            <w:shd w:fill="203B52"/>
          </w:tcPr>
          <w:p>
            <w:pPr>
              <w:keepNext w:val="0"/>
              <w:spacing w:before="0" w:after="40" w:line="257" w:lineRule="auto"/>
            </w:pPr>
            <w:r>
              <w:rPr>
                <w:rFonts w:ascii="Arial" w:hAnsi="Arial"/>
                <w:b/>
                <w:color w:val="FFFFFF"/>
                <w:sz w:val="20"/>
              </w:rPr>
              <w:t>Indicador</w:t>
            </w:r>
          </w:p>
        </w:tc>
        <w:tc>
          <w:tcPr>
            <w:tcW w:type="dxa" w:w="2952"/>
            <w:vAlign w:val="center"/>
            <w:tcMar>
              <w:top w:w="75" w:type="dxa"/>
              <w:bottom w:w="75" w:type="dxa"/>
              <w:left w:w="100" w:type="dxa"/>
              <w:right w:w="100" w:type="dxa"/>
            </w:tcMar>
            <w:shd w:fill="203B52"/>
          </w:tcPr>
          <w:p>
            <w:pPr>
              <w:keepNext w:val="0"/>
              <w:spacing w:before="0" w:after="40" w:line="257" w:lineRule="auto"/>
            </w:pPr>
            <w:r>
              <w:rPr>
                <w:rFonts w:ascii="Arial" w:hAnsi="Arial"/>
                <w:b/>
                <w:color w:val="FFFFFF"/>
                <w:sz w:val="20"/>
              </w:rPr>
              <w:t>Denominador</w:t>
            </w:r>
          </w:p>
        </w:tc>
        <w:tc>
          <w:tcPr>
            <w:tcW w:type="dxa" w:w="4896"/>
            <w:vAlign w:val="center"/>
            <w:tcMar>
              <w:top w:w="75" w:type="dxa"/>
              <w:bottom w:w="75" w:type="dxa"/>
              <w:left w:w="100" w:type="dxa"/>
              <w:right w:w="100" w:type="dxa"/>
            </w:tcMar>
            <w:shd w:fill="203B52"/>
          </w:tcPr>
          <w:p>
            <w:pPr>
              <w:keepNext w:val="0"/>
              <w:spacing w:before="0" w:after="40" w:line="257" w:lineRule="auto"/>
            </w:pPr>
            <w:r>
              <w:rPr>
                <w:rFonts w:ascii="Arial" w:hAnsi="Arial"/>
                <w:b/>
                <w:color w:val="FFFFFF"/>
                <w:sz w:val="20"/>
              </w:rPr>
              <w:t>Lectura</w:t>
            </w:r>
          </w:p>
        </w:tc>
      </w:tr>
      <w:tr>
        <w:trPr>
          <w:cantSplit/>
        </w:trPr>
        <w:tc>
          <w:tcPr>
            <w:tcW w:type="dxa" w:w="1800"/>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Participación</w:t>
            </w:r>
          </w:p>
        </w:tc>
        <w:tc>
          <w:tcPr>
            <w:tcW w:type="dxa" w:w="2952"/>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Población en edad de trabajar</w:t>
            </w:r>
          </w:p>
        </w:tc>
        <w:tc>
          <w:tcPr>
            <w:tcW w:type="dxa" w:w="4896"/>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Porcentaje que integra la fuerza de trabajo.</w:t>
            </w:r>
          </w:p>
        </w:tc>
      </w:tr>
      <w:tr>
        <w:trPr>
          <w:cantSplit/>
        </w:trPr>
        <w:tc>
          <w:tcPr>
            <w:tcW w:type="dxa" w:w="1800"/>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Ocupación</w:t>
            </w:r>
          </w:p>
        </w:tc>
        <w:tc>
          <w:tcPr>
            <w:tcW w:type="dxa" w:w="2952"/>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Población en edad de trabajar</w:t>
            </w:r>
          </w:p>
        </w:tc>
        <w:tc>
          <w:tcPr>
            <w:tcW w:type="dxa" w:w="4896"/>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Porcentaje que está ocupado.</w:t>
            </w:r>
          </w:p>
        </w:tc>
      </w:tr>
      <w:tr>
        <w:trPr>
          <w:cantSplit/>
        </w:trPr>
        <w:tc>
          <w:tcPr>
            <w:tcW w:type="dxa" w:w="1800"/>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Desocupación</w:t>
            </w:r>
          </w:p>
        </w:tc>
        <w:tc>
          <w:tcPr>
            <w:tcW w:type="dxa" w:w="2952"/>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Fuerza de trabajo</w:t>
            </w:r>
          </w:p>
        </w:tc>
        <w:tc>
          <w:tcPr>
            <w:tcW w:type="dxa" w:w="4896"/>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Porcentaje de desocupados dentro de la fuerza de trabajo.</w:t>
            </w:r>
          </w:p>
        </w:tc>
      </w:tr>
    </w:tbl>
    <w:p>
      <w:pPr>
        <w:widowControl/>
        <w:spacing w:before="160"/>
      </w:pPr>
      <w:r>
        <w:rPr>
          <w:b w:val="0"/>
        </w:rPr>
        <w:t>La fuerza de trabajo reúne ocupados y desocupados. Las estimaciones poblacionales deben usar fact_cal y las tasas deben calcularse como razones de totales ponderados, dentro de cada grupo. Los cambios de tasas se expresan en puntos porcentuales. Una caída de la desocupación debe leerse junto con ocupación y participación.</w:t>
      </w:r>
    </w:p>
    <w:p>
      <w:pPr>
        <w:widowControl/>
      </w:pPr>
      <w:r>
        <w:rPr>
          <w:b w:val="0"/>
        </w:rPr>
        <w:t>La precisión requiere considerar estratos, unidades primarias y dominios del diseño ENE, además de las condiciones de recolección durante la pandemia. La varianza de un cambio también depende de la covarianza entre estimaciones. No corresponde trasladar errores estándar entre archivos ni asumir independencia sin revisar sus fundamentos.</w:t>
      </w:r>
    </w:p>
    <w:p>
      <w:pPr>
        <w:pStyle w:val="Heading1"/>
        <w:pageBreakBefore/>
      </w:pPr>
      <w:r>
        <w:t>Desglose demográfico sectorial y socioeconómico</w:t>
      </w:r>
    </w:p>
    <w:p>
      <w:pPr>
        <w:pStyle w:val="Heading2"/>
      </w:pPr>
      <w:r>
        <w:t>Sexo y edad</w:t>
      </w:r>
    </w:p>
    <w:p>
      <w:pPr>
        <w:widowControl/>
      </w:pPr>
      <w:r>
        <w:rPr>
          <w:b w:val="0"/>
        </w:rPr>
        <w:t>La ENE registra sexo. Las diferencias observadas pueden discutirse desde una perspectiva de género, sin afirmar que se midió identidad de género ni que la brecha identifique discriminación causal. Los tramos coherentes con el paso 04 son 15–24, 25–34, 35–44, 45–54, 55–64 y 65 años o más.</w:t>
      </w:r>
    </w:p>
    <w:p>
      <w:pPr>
        <w:widowControl/>
      </w:pPr>
      <w:r>
        <w:rPr>
          <w:b w:val="0"/>
        </w:rPr>
        <w:t>La diapositiva 4 del avance agrupa 35–54 años. Para mantener continuidad se recomienda mostrar los seis tramos de los scripts. Si se necesita una agregación posterior, debe reconstruirse desde los totales ponderados y revisar su precisión; no se promedian tasas de grupos.</w:t>
      </w:r>
    </w:p>
    <w:p>
      <w:pPr>
        <w:pStyle w:val="Heading2"/>
      </w:pPr>
      <w:r>
        <w:t>Sectores productivos</w:t>
      </w:r>
    </w:p>
    <w:p>
      <w:pPr>
        <w:widowControl/>
      </w:pPr>
      <w:r>
        <w:rPr>
          <w:b w:val="0"/>
        </w:rPr>
        <w:t>El paso 05 utiliza tres bloques: b14_ciiu_rev3 en 2010–2012; b14_rev4cl_caenes en 2013–2017; y r_p_rev4cl_caenes en 2018–2025. La presencia de una variable en la unión técnica no garantiza equivalencia conceptual. Los bloques deben presentarse por separado mientras no exista una armonización justificada.</w:t>
      </w:r>
    </w:p>
    <w:p>
      <w:pPr>
        <w:widowControl/>
      </w:pPr>
      <w:r>
        <w:rPr>
          <w:b w:val="0"/>
        </w:rPr>
        <w:t>Los cambios alrededor de la pandemia se pueden examinar dentro del bloque ajustado de 2018–2025. La participación de un sector en el empleo de un grupo tiene como denominador a todos los ocupados de ese grupo. No es una tasa de desocupación sectorial. El paso 05 desglosa sexo y edad por separado, sin cruce simultáneo sexo por edad.</w:t>
      </w:r>
    </w:p>
    <w:p>
      <w:pPr>
        <w:pStyle w:val="Heading2"/>
      </w:pPr>
      <w:r>
        <w:t>Cómo incorporar la dimensión socioeconómica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3384"/>
        <w:gridCol w:w="4392"/>
      </w:tblGrid>
      <w:tr>
        <w:trPr>
          <w:tblHeader/>
          <w:cantSplit/>
        </w:trPr>
        <w:tc>
          <w:tcPr>
            <w:tcW w:type="dxa" w:w="1872"/>
            <w:vAlign w:val="center"/>
            <w:tcMar>
              <w:top w:w="75" w:type="dxa"/>
              <w:bottom w:w="75" w:type="dxa"/>
              <w:left w:w="100" w:type="dxa"/>
              <w:right w:w="100" w:type="dxa"/>
            </w:tcMar>
            <w:shd w:fill="203B52"/>
          </w:tcPr>
          <w:p>
            <w:pPr>
              <w:keepNext w:val="0"/>
              <w:spacing w:before="0" w:after="40" w:line="257" w:lineRule="auto"/>
            </w:pPr>
            <w:r>
              <w:rPr>
                <w:rFonts w:ascii="Arial" w:hAnsi="Arial"/>
                <w:b/>
                <w:color w:val="FFFFFF"/>
                <w:sz w:val="20"/>
              </w:rPr>
              <w:t>Dimensión</w:t>
            </w:r>
          </w:p>
        </w:tc>
        <w:tc>
          <w:tcPr>
            <w:tcW w:type="dxa" w:w="3384"/>
            <w:vAlign w:val="center"/>
            <w:tcMar>
              <w:top w:w="75" w:type="dxa"/>
              <w:bottom w:w="75" w:type="dxa"/>
              <w:left w:w="100" w:type="dxa"/>
              <w:right w:w="100" w:type="dxa"/>
            </w:tcMar>
            <w:shd w:fill="203B52"/>
          </w:tcPr>
          <w:p>
            <w:pPr>
              <w:keepNext w:val="0"/>
              <w:spacing w:before="0" w:after="40" w:line="257" w:lineRule="auto"/>
            </w:pPr>
            <w:r>
              <w:rPr>
                <w:rFonts w:ascii="Arial" w:hAnsi="Arial"/>
                <w:b/>
                <w:color w:val="FFFFFF"/>
                <w:sz w:val="20"/>
              </w:rPr>
              <w:t>Uso propuesto</w:t>
            </w:r>
          </w:p>
        </w:tc>
        <w:tc>
          <w:tcPr>
            <w:tcW w:type="dxa" w:w="4392"/>
            <w:vAlign w:val="center"/>
            <w:tcMar>
              <w:top w:w="75" w:type="dxa"/>
              <w:bottom w:w="75" w:type="dxa"/>
              <w:left w:w="100" w:type="dxa"/>
              <w:right w:w="100" w:type="dxa"/>
            </w:tcMar>
            <w:shd w:fill="203B52"/>
          </w:tcPr>
          <w:p>
            <w:pPr>
              <w:keepNext w:val="0"/>
              <w:spacing w:before="0" w:after="40" w:line="257" w:lineRule="auto"/>
            </w:pPr>
            <w:r>
              <w:rPr>
                <w:rFonts w:ascii="Arial" w:hAnsi="Arial"/>
                <w:b/>
                <w:color w:val="FFFFFF"/>
                <w:sz w:val="20"/>
              </w:rPr>
              <w:t>Condición previa</w:t>
            </w:r>
          </w:p>
        </w:tc>
      </w:tr>
      <w:tr>
        <w:trPr>
          <w:cantSplit/>
        </w:trPr>
        <w:tc>
          <w:tcPr>
            <w:tcW w:type="dxa" w:w="1872"/>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Educación</w:t>
            </w:r>
          </w:p>
        </w:tc>
        <w:tc>
          <w:tcPr>
            <w:tcW w:type="dxa" w:w="3384"/>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Desagregación adicional por nivel educativo.</w:t>
            </w:r>
          </w:p>
        </w:tc>
        <w:tc>
          <w:tcPr>
            <w:tcW w:type="dxa" w:w="4392"/>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Verificar códigos, cobertura y comparabilidad; no llamarla ingreso o clase social.</w:t>
            </w:r>
          </w:p>
        </w:tc>
      </w:tr>
      <w:tr>
        <w:trPr>
          <w:cantSplit/>
        </w:trPr>
        <w:tc>
          <w:tcPr>
            <w:tcW w:type="dxa" w:w="1872"/>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Ingresos del hogar</w:t>
            </w:r>
          </w:p>
        </w:tc>
        <w:tc>
          <w:tcPr>
            <w:tcW w:type="dxa" w:w="3384"/>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Posible clasificación socioeconómica.</w:t>
            </w:r>
          </w:p>
        </w:tc>
        <w:tc>
          <w:tcPr>
            <w:tcW w:type="dxa" w:w="4392"/>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Definir fuente, unidad, período, ajuste y construcción de grupos; verificar disponibilidad.</w:t>
            </w:r>
          </w:p>
        </w:tc>
      </w:tr>
      <w:tr>
        <w:trPr>
          <w:cantSplit/>
        </w:trPr>
        <w:tc>
          <w:tcPr>
            <w:tcW w:type="dxa" w:w="1872"/>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Formalidad y región</w:t>
            </w:r>
          </w:p>
        </w:tc>
        <w:tc>
          <w:tcPr>
            <w:tcW w:type="dxa" w:w="3384"/>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Dimensiones complementarias del empleo.</w:t>
            </w:r>
          </w:p>
        </w:tc>
        <w:tc>
          <w:tcPr>
            <w:tcW w:type="dxa" w:w="4392"/>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Revisar definiciones y precisión antes de cruzar categorías.</w:t>
            </w:r>
          </w:p>
        </w:tc>
      </w:tr>
    </w:tbl>
    <w:p>
      <w:pPr>
        <w:widowControl/>
        <w:spacing w:before="160"/>
      </w:pPr>
      <w:r>
        <w:rPr>
          <w:b w:val="0"/>
        </w:rPr>
        <w:t>La variable estrato del diseño muestral no debe interpretarse como estrato social. Si se usan otras encuestas, como CASEN o la ESI, su articulación debe justificarse por población, cobertura y unidad de observación; no se concatenan automáticamente con la ENE como si fueran una única encuesta.</w:t>
      </w:r>
    </w:p>
    <w:p>
      <w:pPr>
        <w:pStyle w:val="Heading1"/>
        <w:pageBreakBefore/>
      </w:pPr>
      <w:r>
        <w:t>Contexto macroeconómico e hipótesis de crecimiento</w:t>
      </w:r>
    </w:p>
    <w:p>
      <w:pPr>
        <w:widowControl/>
      </w:pPr>
      <w:r>
        <w:rPr>
          <w:b w:val="0"/>
        </w:rPr>
        <w:t>El orden sugerido permite comenzar con los hechos laborales y luego discutir mecanismos. La hipótesis es que la evolución de la actividad y la inversión podría asociarse con la demanda de trabajo y su composición. La participación, las restricciones de cuidado y los cambios sectoriales también pueden influir en las tasas observadas. Ninguno de esos mecanismos queda identificado por una coincidencia temporal.</w:t>
      </w:r>
    </w:p>
    <w:p>
      <w:pPr>
        <w:pStyle w:val="Heading2"/>
      </w:pPr>
      <w:r>
        <w:t>Alineación propuesta con abril a junio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4104"/>
        <w:gridCol w:w="3960"/>
      </w:tblGrid>
      <w:tr>
        <w:trPr>
          <w:tblHeader/>
          <w:cantSplit/>
        </w:trPr>
        <w:tc>
          <w:tcPr>
            <w:tcW w:type="dxa" w:w="1584"/>
            <w:vAlign w:val="center"/>
            <w:tcMar>
              <w:top w:w="75" w:type="dxa"/>
              <w:bottom w:w="75" w:type="dxa"/>
              <w:left w:w="100" w:type="dxa"/>
              <w:right w:w="100" w:type="dxa"/>
            </w:tcMar>
            <w:shd w:fill="203B52"/>
          </w:tcPr>
          <w:p>
            <w:pPr>
              <w:keepNext w:val="0"/>
              <w:spacing w:before="0" w:after="40" w:line="257" w:lineRule="auto"/>
              <w:jc w:val="center"/>
            </w:pPr>
            <w:r>
              <w:rPr>
                <w:rFonts w:ascii="Arial" w:hAnsi="Arial"/>
                <w:b/>
                <w:color w:val="FFFFFF"/>
                <w:sz w:val="20"/>
              </w:rPr>
              <w:t>Variable</w:t>
            </w:r>
          </w:p>
        </w:tc>
        <w:tc>
          <w:tcPr>
            <w:tcW w:type="dxa" w:w="4104"/>
            <w:vAlign w:val="center"/>
            <w:tcMar>
              <w:top w:w="75" w:type="dxa"/>
              <w:bottom w:w="75" w:type="dxa"/>
              <w:left w:w="100" w:type="dxa"/>
              <w:right w:w="100" w:type="dxa"/>
            </w:tcMar>
            <w:shd w:fill="203B52"/>
          </w:tcPr>
          <w:p>
            <w:pPr>
              <w:keepNext w:val="0"/>
              <w:spacing w:before="0" w:after="40" w:line="257" w:lineRule="auto"/>
            </w:pPr>
            <w:r>
              <w:rPr>
                <w:rFonts w:ascii="Arial" w:hAnsi="Arial"/>
                <w:b/>
                <w:color w:val="FFFFFF"/>
                <w:sz w:val="20"/>
              </w:rPr>
              <w:t>Frecuencia y alineación</w:t>
            </w:r>
          </w:p>
        </w:tc>
        <w:tc>
          <w:tcPr>
            <w:tcW w:type="dxa" w:w="3960"/>
            <w:vAlign w:val="center"/>
            <w:tcMar>
              <w:top w:w="75" w:type="dxa"/>
              <w:bottom w:w="75" w:type="dxa"/>
              <w:left w:w="100" w:type="dxa"/>
              <w:right w:w="100" w:type="dxa"/>
            </w:tcMar>
            <w:shd w:fill="203B52"/>
          </w:tcPr>
          <w:p>
            <w:pPr>
              <w:keepNext w:val="0"/>
              <w:spacing w:before="0" w:after="40" w:line="257" w:lineRule="auto"/>
            </w:pPr>
            <w:r>
              <w:rPr>
                <w:rFonts w:ascii="Arial" w:hAnsi="Arial"/>
                <w:b/>
                <w:color w:val="FFFFFF"/>
                <w:sz w:val="20"/>
              </w:rPr>
              <w:t>Transformación por verificar</w:t>
            </w:r>
          </w:p>
        </w:tc>
      </w:tr>
      <w:tr>
        <w:trPr>
          <w:cantSplit/>
        </w:trPr>
        <w:tc>
          <w:tcPr>
            <w:tcW w:type="dxa" w:w="1584"/>
            <w:vAlign w:val="center"/>
            <w:tcMar>
              <w:top w:w="75" w:type="dxa"/>
              <w:bottom w:w="75" w:type="dxa"/>
              <w:left w:w="100" w:type="dxa"/>
              <w:right w:w="100" w:type="dxa"/>
            </w:tcMar>
            <w:shd w:fill="FFFFFF"/>
          </w:tcPr>
          <w:p>
            <w:pPr>
              <w:keepNext w:val="0"/>
              <w:spacing w:before="0" w:after="40" w:line="257" w:lineRule="auto"/>
              <w:jc w:val="center"/>
            </w:pPr>
            <w:r>
              <w:rPr>
                <w:rFonts w:ascii="Arial" w:hAnsi="Arial"/>
                <w:b w:val="0"/>
                <w:color w:val="000000"/>
                <w:sz w:val="20"/>
              </w:rPr>
              <w:t>PIB real</w:t>
            </w:r>
          </w:p>
        </w:tc>
        <w:tc>
          <w:tcPr>
            <w:tcW w:type="dxa" w:w="4104"/>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Serie trimestral oficial del Banco Central. T2 abril–junio.</w:t>
            </w:r>
          </w:p>
        </w:tc>
        <w:tc>
          <w:tcPr>
            <w:tcW w:type="dxa" w:w="3960"/>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Variación interanual del volumen del T2.</w:t>
            </w:r>
          </w:p>
        </w:tc>
      </w:tr>
      <w:tr>
        <w:trPr>
          <w:cantSplit/>
        </w:trPr>
        <w:tc>
          <w:tcPr>
            <w:tcW w:type="dxa" w:w="1584"/>
            <w:vAlign w:val="center"/>
            <w:tcMar>
              <w:top w:w="75" w:type="dxa"/>
              <w:bottom w:w="75" w:type="dxa"/>
              <w:left w:w="100" w:type="dxa"/>
              <w:right w:w="100" w:type="dxa"/>
            </w:tcMar>
            <w:shd w:fill="F0F4F7"/>
          </w:tcPr>
          <w:p>
            <w:pPr>
              <w:keepNext w:val="0"/>
              <w:spacing w:before="0" w:after="40" w:line="257" w:lineRule="auto"/>
              <w:jc w:val="center"/>
            </w:pPr>
            <w:r>
              <w:rPr>
                <w:rFonts w:ascii="Arial" w:hAnsi="Arial"/>
                <w:b w:val="0"/>
                <w:color w:val="000000"/>
                <w:sz w:val="20"/>
              </w:rPr>
              <w:t>Inversión real</w:t>
            </w:r>
          </w:p>
        </w:tc>
        <w:tc>
          <w:tcPr>
            <w:tcW w:type="dxa" w:w="4104"/>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FBKF trimestral oficial, si corresponde a la pregunta. T2.</w:t>
            </w:r>
          </w:p>
        </w:tc>
        <w:tc>
          <w:tcPr>
            <w:tcW w:type="dxa" w:w="3960"/>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Variación interanual del volumen del T2.</w:t>
            </w:r>
          </w:p>
        </w:tc>
      </w:tr>
      <w:tr>
        <w:trPr>
          <w:cantSplit/>
        </w:trPr>
        <w:tc>
          <w:tcPr>
            <w:tcW w:type="dxa" w:w="1584"/>
            <w:vAlign w:val="center"/>
            <w:tcMar>
              <w:top w:w="75" w:type="dxa"/>
              <w:bottom w:w="75" w:type="dxa"/>
              <w:left w:w="100" w:type="dxa"/>
              <w:right w:w="100" w:type="dxa"/>
            </w:tcMar>
            <w:shd w:fill="FFFFFF"/>
          </w:tcPr>
          <w:p>
            <w:pPr>
              <w:keepNext w:val="0"/>
              <w:spacing w:before="0" w:after="40" w:line="257" w:lineRule="auto"/>
              <w:jc w:val="center"/>
            </w:pPr>
            <w:r>
              <w:rPr>
                <w:rFonts w:ascii="Arial" w:hAnsi="Arial"/>
                <w:b w:val="0"/>
                <w:color w:val="000000"/>
                <w:sz w:val="20"/>
              </w:rPr>
              <w:t>Inflación</w:t>
            </w:r>
          </w:p>
        </w:tc>
        <w:tc>
          <w:tcPr>
            <w:tcW w:type="dxa" w:w="4104"/>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IPC mensual del INE. Abril, mayo y junio.</w:t>
            </w:r>
          </w:p>
        </w:tc>
        <w:tc>
          <w:tcPr>
            <w:tcW w:type="dxa" w:w="3960"/>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Promedio de las tres variaciones interanuales mensuales.</w:t>
            </w:r>
          </w:p>
        </w:tc>
      </w:tr>
    </w:tbl>
    <w:p>
      <w:pPr>
        <w:widowControl/>
        <w:spacing w:before="160"/>
      </w:pPr>
      <w:r>
        <w:rPr>
          <w:b w:val="0"/>
        </w:rPr>
        <w:t>Estas decisiones son propuestas de construcción, no series ya descargadas. Cada serie debe documentar nombre y código verificados, unidad, frecuencia, base o referencia, ajuste estacional, revisiones, transformación y fecha de consulta. La inflación así definida no equivale al IPC de junio ni necesariamente a la variación del promedio trimestral del índice.</w:t>
      </w:r>
    </w:p>
    <w:p>
      <w:pPr>
        <w:widowControl/>
      </w:pPr>
      <w:r>
        <w:rPr>
          <w:b w:val="0"/>
        </w:rPr>
        <w:t>Para obtener variaciones interanuales de 2010 se necesitan antecedentes de 2009; esto no amplía las 16 observaciones principales. Las comparaciones gráficas deben explicitar unidades y escalas. Conviene evitar ejes dobles que sugieran relaciones por la sola elección de sus rangos.</w:t>
      </w:r>
    </w:p>
    <w:p>
      <w:pPr>
        <w:pStyle w:val="Heading2"/>
      </w:pPr>
      <w:r>
        <w:t>Alcance de una eventual estimación</w:t>
      </w:r>
    </w:p>
    <w:p>
      <w:pPr>
        <w:widowControl/>
      </w:pPr>
      <w:r>
        <w:rPr>
          <w:b w:val="0"/>
        </w:rPr>
        <w:t>Primero se construirá una base comparable y se revisarán gráficos descriptivos. Una relación exploratoria tipo Okun podría asociar el cambio interanual de la tasa de desocupación AMJ, en puntos porcentuales, con el crecimiento real interanual del T2. Diferenciar los 16 niveles deja 15 observaciones, de 2011 a 2025. El signo y la magnitud deben examinarse sin imponerlos.</w:t>
      </w:r>
    </w:p>
    <w:p>
      <w:pPr>
        <w:widowControl/>
      </w:pPr>
      <w:r>
        <w:rPr>
          <w:b w:val="0"/>
        </w:rPr>
        <w:t>Con tan pocos años, incorporar simultáneamente PIB, inversión, inflación y varias variables de políticas sería frágil. La pandemia puede dominar la pendiente. Desagregar sexo y edad no añade años independientes de variación macroeconómica. Una asociación estimada no demostraría que el crecimiento causó los cambios ni que una política produjo recuperación.</w:t>
      </w:r>
    </w:p>
    <w:p>
      <w:pPr>
        <w:pStyle w:val="Heading1"/>
        <w:pageBreakBefore/>
      </w:pPr>
      <w:r>
        <w:t>Políticas de empleo y uso del marco teórico</w:t>
      </w:r>
    </w:p>
    <w:p>
      <w:pPr>
        <w:pStyle w:val="Heading2"/>
      </w:pPr>
      <w:r>
        <w:t>Revisión de instrumentos y evaluaciones</w:t>
      </w:r>
    </w:p>
    <w:p>
      <w:pPr>
        <w:widowControl/>
      </w:pPr>
      <w:r>
        <w:rPr>
          <w:b w:val="0"/>
        </w:rPr>
        <w:t>El avance identifica IFE Laboral, Subsidio Protege, Subsidio al Empleo Joven y Bono al Trabajo de la Mujer como instrumentos por revisar. El registro de investigación del paso 07 añade como candidatas el Seguro de Cesantía, la Ley de Protección del Empleo y Regresa/Contrata. Esta selección no certifica sus fechas, reglas históricas, cobertura o efectos.</w:t>
      </w:r>
    </w:p>
    <w:p>
      <w:pPr>
        <w:widowControl/>
      </w:pPr>
      <w:r>
        <w:rPr>
          <w:b w:val="0"/>
        </w:rPr>
        <w:t>Para cada política se requiere distinguir anuncio, norma, vigencia, postulación, pago y cierre; identificar población objetivo, elegibilidad y mecanismo; y leer las evaluaciones disponibles. Un informe de diseño o cobertura no equivale a una evaluación de impacto. Beneficiarios, pagos o contratos registrados no son por sí solos empleos adicionales.</w:t>
      </w:r>
    </w:p>
    <w:p>
      <w:pPr>
        <w:widowControl/>
      </w:pPr>
      <w:r>
        <w:rPr>
          <w:b w:val="0"/>
        </w:rPr>
        <w:t>La comparación antes y después mezcla políticas con pandemia, actividad, cambios de participación y composición de la población. Sexo y edad no identifican automáticamente beneficiarios. Una estrategia causal exigiría exposición o asignación verificables, un contrafactual defendible y datos adecuados para comprobar sus supuestos.</w:t>
      </w:r>
    </w:p>
    <w:p>
      <w:pPr>
        <w:pStyle w:val="Heading2"/>
      </w:pPr>
      <w:r>
        <w:t>Cómo utilizar las dos referencias sugeridas</w:t>
      </w:r>
    </w:p>
    <w:p>
      <w:pPr>
        <w:widowControl/>
      </w:pPr>
      <w:r>
        <w:rPr>
          <w:b w:val="0"/>
        </w:rPr>
        <w:t>Los enlaces del CEP y del sitio de encuestas UC se conservarán como referencias propuestas. Antes de incorporarlos hay que verificar título, autoría, fecha, pregunta, datos, muestra, frecuencia, método y resultados. Luego se decidirá si aportan teoría, evidencia empírica o contexto; no corresponde asignarles una función por el solo nombre de la institución.</w:t>
      </w:r>
    </w:p>
    <w:p>
      <w:pPr>
        <w:widowControl/>
      </w:pPr>
      <w:r>
        <w:rPr>
          <w:b w:val="0"/>
        </w:rPr>
        <w:t>Un análisis externo debe compararse con cautela si usa otra encuesta, meses distintos, promedios anuales u otro período. Puede aportar mecanismos o resultados para contrastar, pero no reemplaza las series oficiales ni demuestra que la asociación se reproduzca en los cortes AMJ.</w:t>
      </w:r>
    </w:p>
    <w:p>
      <w:pPr>
        <w:widowControl/>
      </w:pPr>
      <w:r>
        <w:rPr>
          <w:b w:val="0"/>
        </w:rPr>
        <w:t>En esta revisión no se pudo consultar el contenido de esos dos enlaces porque la política de red bloqueó el acceso. No se les atribuyen títulos, resultados ni conclusiones. El mensaje recibido está truncado después de la frase sobre el bajo crecimiento económico; no se reconstruye la parte faltante ni se convierte en una conclusión del estudio.</w:t>
      </w:r>
    </w:p>
    <w:p>
      <w:pPr>
        <w:pStyle w:val="Heading2"/>
      </w:pPr>
      <w:r>
        <w:t>Conclusión metodológica provisional</w:t>
      </w:r>
    </w:p>
    <w:p>
      <w:pPr>
        <w:widowControl/>
      </w:pPr>
      <w:r>
        <w:rPr>
          <w:b w:val="0"/>
        </w:rPr>
        <w:t>La discusión de política deberá relacionar brechas descriptivas verificadas con mecanismos y evaluaciones documentadas. Aún no hay fundamento para atribuir una recuperación a un programa específico ni para afirmar que el bajo crecimiento explica por sí solo las diferencias observadas.</w:t>
      </w:r>
    </w:p>
    <w:p>
      <w:pPr>
        <w:pStyle w:val="Heading1"/>
        <w:pageBreakBefore/>
      </w:pPr>
      <w:r>
        <w:t>Actualización de la presentación y continuidad técnica</w:t>
      </w:r>
    </w:p>
    <w:p>
      <w:pPr>
        <w:widowControl/>
      </w:pPr>
      <w:r>
        <w:rPr>
          <w:b w:val="0"/>
        </w:rPr>
        <w:t>La presentación distingue sexo y género, define los tres indicadores y advierte sobre los límites causales. Se recomienda conservar esas decisiones, situar 2019–2025 dentro de AMJ 2010–2025 y armonizar las categorías con el código disponible. [P1]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64"/>
        <w:gridCol w:w="3024"/>
        <w:gridCol w:w="5760"/>
      </w:tblGrid>
      <w:tr>
        <w:trPr>
          <w:tblHeader/>
          <w:cantSplit/>
        </w:trPr>
        <w:tc>
          <w:tcPr>
            <w:tcW w:type="dxa" w:w="864"/>
            <w:vAlign w:val="center"/>
            <w:tcMar>
              <w:top w:w="75" w:type="dxa"/>
              <w:bottom w:w="75" w:type="dxa"/>
              <w:left w:w="100" w:type="dxa"/>
              <w:right w:w="100" w:type="dxa"/>
            </w:tcMar>
            <w:shd w:fill="203B52"/>
          </w:tcPr>
          <w:p>
            <w:pPr>
              <w:keepNext w:val="0"/>
              <w:spacing w:before="0" w:after="40" w:line="257" w:lineRule="auto"/>
              <w:jc w:val="center"/>
            </w:pPr>
            <w:r>
              <w:rPr>
                <w:rFonts w:ascii="Arial" w:hAnsi="Arial"/>
                <w:b/>
                <w:color w:val="FFFFFF"/>
                <w:sz w:val="20"/>
              </w:rPr>
              <w:t>Núm.</w:t>
            </w:r>
          </w:p>
        </w:tc>
        <w:tc>
          <w:tcPr>
            <w:tcW w:type="dxa" w:w="3024"/>
            <w:vAlign w:val="center"/>
            <w:tcMar>
              <w:top w:w="75" w:type="dxa"/>
              <w:bottom w:w="75" w:type="dxa"/>
              <w:left w:w="100" w:type="dxa"/>
              <w:right w:w="100" w:type="dxa"/>
            </w:tcMar>
            <w:shd w:fill="203B52"/>
          </w:tcPr>
          <w:p>
            <w:pPr>
              <w:keepNext w:val="0"/>
              <w:spacing w:before="0" w:after="40" w:line="257" w:lineRule="auto"/>
            </w:pPr>
            <w:r>
              <w:rPr>
                <w:rFonts w:ascii="Arial" w:hAnsi="Arial"/>
                <w:b/>
                <w:color w:val="FFFFFF"/>
                <w:sz w:val="20"/>
              </w:rPr>
              <w:t>Contenido actual</w:t>
            </w:r>
          </w:p>
        </w:tc>
        <w:tc>
          <w:tcPr>
            <w:tcW w:type="dxa" w:w="5760"/>
            <w:vAlign w:val="center"/>
            <w:tcMar>
              <w:top w:w="75" w:type="dxa"/>
              <w:bottom w:w="75" w:type="dxa"/>
              <w:left w:w="100" w:type="dxa"/>
              <w:right w:w="100" w:type="dxa"/>
            </w:tcMar>
            <w:shd w:fill="203B52"/>
          </w:tcPr>
          <w:p>
            <w:pPr>
              <w:keepNext w:val="0"/>
              <w:spacing w:before="0" w:after="40" w:line="257" w:lineRule="auto"/>
            </w:pPr>
            <w:r>
              <w:rPr>
                <w:rFonts w:ascii="Arial" w:hAnsi="Arial"/>
                <w:b/>
                <w:color w:val="FFFFFF"/>
                <w:sz w:val="20"/>
              </w:rPr>
              <w:t>Ajuste recomendado</w:t>
            </w:r>
          </w:p>
        </w:tc>
      </w:tr>
      <w:tr>
        <w:trPr>
          <w:cantSplit/>
        </w:trPr>
        <w:tc>
          <w:tcPr>
            <w:tcW w:type="dxa" w:w="864"/>
            <w:vAlign w:val="center"/>
            <w:tcMar>
              <w:top w:w="75" w:type="dxa"/>
              <w:bottom w:w="75" w:type="dxa"/>
              <w:left w:w="100" w:type="dxa"/>
              <w:right w:w="100" w:type="dxa"/>
            </w:tcMar>
            <w:shd w:fill="FFFFFF"/>
          </w:tcPr>
          <w:p>
            <w:pPr>
              <w:keepNext w:val="0"/>
              <w:spacing w:before="0" w:after="40" w:line="257" w:lineRule="auto"/>
              <w:jc w:val="center"/>
            </w:pPr>
            <w:r>
              <w:rPr>
                <w:rFonts w:ascii="Arial" w:hAnsi="Arial"/>
                <w:b w:val="0"/>
                <w:color w:val="000000"/>
                <w:sz w:val="20"/>
              </w:rPr>
              <w:t>1</w:t>
            </w:r>
          </w:p>
        </w:tc>
        <w:tc>
          <w:tcPr>
            <w:tcW w:type="dxa" w:w="3024"/>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Título oficial y primer avance.</w:t>
            </w:r>
          </w:p>
        </w:tc>
        <w:tc>
          <w:tcPr>
            <w:tcW w:type="dxa" w:w="5760"/>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Conservar el tema; indicar alcance AMJ 2010–2025 y estado del avance.</w:t>
            </w:r>
          </w:p>
        </w:tc>
      </w:tr>
      <w:tr>
        <w:trPr>
          <w:cantSplit/>
        </w:trPr>
        <w:tc>
          <w:tcPr>
            <w:tcW w:type="dxa" w:w="864"/>
            <w:vAlign w:val="center"/>
            <w:tcMar>
              <w:top w:w="75" w:type="dxa"/>
              <w:bottom w:w="75" w:type="dxa"/>
              <w:left w:w="100" w:type="dxa"/>
              <w:right w:w="100" w:type="dxa"/>
            </w:tcMar>
            <w:shd w:fill="F0F4F7"/>
          </w:tcPr>
          <w:p>
            <w:pPr>
              <w:keepNext w:val="0"/>
              <w:spacing w:before="0" w:after="40" w:line="257" w:lineRule="auto"/>
              <w:jc w:val="center"/>
            </w:pPr>
            <w:r>
              <w:rPr>
                <w:rFonts w:ascii="Arial" w:hAnsi="Arial"/>
                <w:b w:val="0"/>
                <w:color w:val="000000"/>
                <w:sz w:val="20"/>
              </w:rPr>
              <w:t>2</w:t>
            </w:r>
          </w:p>
        </w:tc>
        <w:tc>
          <w:tcPr>
            <w:tcW w:type="dxa" w:w="3024"/>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Recuperación entre 2019 y 2025.</w:t>
            </w:r>
          </w:p>
        </w:tc>
        <w:tc>
          <w:tcPr>
            <w:tcW w:type="dxa" w:w="5760"/>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Formular la pregunta de trayectoria y conservar 2019 como referencia.</w:t>
            </w:r>
          </w:p>
        </w:tc>
      </w:tr>
      <w:tr>
        <w:trPr>
          <w:cantSplit/>
        </w:trPr>
        <w:tc>
          <w:tcPr>
            <w:tcW w:type="dxa" w:w="864"/>
            <w:vAlign w:val="center"/>
            <w:tcMar>
              <w:top w:w="75" w:type="dxa"/>
              <w:bottom w:w="75" w:type="dxa"/>
              <w:left w:w="100" w:type="dxa"/>
              <w:right w:w="100" w:type="dxa"/>
            </w:tcMar>
            <w:shd w:fill="FFFFFF"/>
          </w:tcPr>
          <w:p>
            <w:pPr>
              <w:keepNext w:val="0"/>
              <w:spacing w:before="0" w:after="40" w:line="257" w:lineRule="auto"/>
              <w:jc w:val="center"/>
            </w:pPr>
            <w:r>
              <w:rPr>
                <w:rFonts w:ascii="Arial" w:hAnsi="Arial"/>
                <w:b w:val="0"/>
                <w:color w:val="000000"/>
                <w:sz w:val="20"/>
              </w:rPr>
              <w:t>3</w:t>
            </w:r>
          </w:p>
        </w:tc>
        <w:tc>
          <w:tcPr>
            <w:tcW w:type="dxa" w:w="3024"/>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Contexto y posibles explicaciones.</w:t>
            </w:r>
          </w:p>
        </w:tc>
        <w:tc>
          <w:tcPr>
            <w:tcW w:type="dxa" w:w="5760"/>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Situar crecimiento e inversión como hipótesis que se contrastarán.</w:t>
            </w:r>
          </w:p>
        </w:tc>
      </w:tr>
      <w:tr>
        <w:trPr>
          <w:cantSplit/>
        </w:trPr>
        <w:tc>
          <w:tcPr>
            <w:tcW w:type="dxa" w:w="864"/>
            <w:vAlign w:val="center"/>
            <w:tcMar>
              <w:top w:w="75" w:type="dxa"/>
              <w:bottom w:w="75" w:type="dxa"/>
              <w:left w:w="100" w:type="dxa"/>
              <w:right w:w="100" w:type="dxa"/>
            </w:tcMar>
            <w:shd w:fill="F0F4F7"/>
          </w:tcPr>
          <w:p>
            <w:pPr>
              <w:keepNext w:val="0"/>
              <w:spacing w:before="0" w:after="40" w:line="257" w:lineRule="auto"/>
              <w:jc w:val="center"/>
            </w:pPr>
            <w:r>
              <w:rPr>
                <w:rFonts w:ascii="Arial" w:hAnsi="Arial"/>
                <w:b w:val="0"/>
                <w:color w:val="000000"/>
                <w:sz w:val="20"/>
              </w:rPr>
              <w:t>4</w:t>
            </w:r>
          </w:p>
        </w:tc>
        <w:tc>
          <w:tcPr>
            <w:tcW w:type="dxa" w:w="3024"/>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Datos y grupos de comparación.</w:t>
            </w:r>
          </w:p>
        </w:tc>
        <w:tc>
          <w:tcPr>
            <w:tcW w:type="dxa" w:w="5760"/>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Usar seis tramos de edad; definir aparte la dimensión socioeconómica.</w:t>
            </w:r>
          </w:p>
        </w:tc>
      </w:tr>
      <w:tr>
        <w:trPr>
          <w:cantSplit/>
        </w:trPr>
        <w:tc>
          <w:tcPr>
            <w:tcW w:type="dxa" w:w="864"/>
            <w:vAlign w:val="center"/>
            <w:tcMar>
              <w:top w:w="75" w:type="dxa"/>
              <w:bottom w:w="75" w:type="dxa"/>
              <w:left w:w="100" w:type="dxa"/>
              <w:right w:w="100" w:type="dxa"/>
            </w:tcMar>
            <w:shd w:fill="FFFFFF"/>
          </w:tcPr>
          <w:p>
            <w:pPr>
              <w:keepNext w:val="0"/>
              <w:spacing w:before="0" w:after="40" w:line="257" w:lineRule="auto"/>
              <w:jc w:val="center"/>
            </w:pPr>
            <w:r>
              <w:rPr>
                <w:rFonts w:ascii="Arial" w:hAnsi="Arial"/>
                <w:b w:val="0"/>
                <w:color w:val="000000"/>
                <w:sz w:val="20"/>
              </w:rPr>
              <w:t>5</w:t>
            </w:r>
          </w:p>
        </w:tc>
        <w:tc>
          <w:tcPr>
            <w:tcW w:type="dxa" w:w="3024"/>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Ocupación desocupación y participación.</w:t>
            </w:r>
          </w:p>
        </w:tc>
        <w:tc>
          <w:tcPr>
            <w:tcW w:type="dxa" w:w="5760"/>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Mantener denominadores, ponderación y lectura conjunta.</w:t>
            </w:r>
          </w:p>
        </w:tc>
      </w:tr>
      <w:tr>
        <w:trPr>
          <w:cantSplit/>
        </w:trPr>
        <w:tc>
          <w:tcPr>
            <w:tcW w:type="dxa" w:w="864"/>
            <w:vAlign w:val="center"/>
            <w:tcMar>
              <w:top w:w="75" w:type="dxa"/>
              <w:bottom w:w="75" w:type="dxa"/>
              <w:left w:w="100" w:type="dxa"/>
              <w:right w:w="100" w:type="dxa"/>
            </w:tcMar>
            <w:shd w:fill="F0F4F7"/>
          </w:tcPr>
          <w:p>
            <w:pPr>
              <w:keepNext w:val="0"/>
              <w:spacing w:before="0" w:after="40" w:line="257" w:lineRule="auto"/>
              <w:jc w:val="center"/>
            </w:pPr>
            <w:r>
              <w:rPr>
                <w:rFonts w:ascii="Arial" w:hAnsi="Arial"/>
                <w:b w:val="0"/>
                <w:color w:val="000000"/>
                <w:sz w:val="20"/>
              </w:rPr>
              <w:t>6</w:t>
            </w:r>
          </w:p>
        </w:tc>
        <w:tc>
          <w:tcPr>
            <w:tcW w:type="dxa" w:w="3024"/>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Políticas por revisar.</w:t>
            </w:r>
          </w:p>
        </w:tc>
        <w:tc>
          <w:tcPr>
            <w:tcW w:type="dxa" w:w="5760"/>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Separar reglas históricas, cobertura y evaluaciones de efectos.</w:t>
            </w:r>
          </w:p>
        </w:tc>
      </w:tr>
      <w:tr>
        <w:trPr>
          <w:cantSplit/>
        </w:trPr>
        <w:tc>
          <w:tcPr>
            <w:tcW w:type="dxa" w:w="864"/>
            <w:vAlign w:val="center"/>
            <w:tcMar>
              <w:top w:w="75" w:type="dxa"/>
              <w:bottom w:w="75" w:type="dxa"/>
              <w:left w:w="100" w:type="dxa"/>
              <w:right w:w="100" w:type="dxa"/>
            </w:tcMar>
            <w:shd w:fill="FFFFFF"/>
          </w:tcPr>
          <w:p>
            <w:pPr>
              <w:keepNext w:val="0"/>
              <w:spacing w:before="0" w:after="40" w:line="257" w:lineRule="auto"/>
              <w:jc w:val="center"/>
            </w:pPr>
            <w:r>
              <w:rPr>
                <w:rFonts w:ascii="Arial" w:hAnsi="Arial"/>
                <w:b w:val="0"/>
                <w:color w:val="000000"/>
                <w:sz w:val="20"/>
              </w:rPr>
              <w:t>7</w:t>
            </w:r>
          </w:p>
        </w:tc>
        <w:tc>
          <w:tcPr>
            <w:tcW w:type="dxa" w:w="3024"/>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Avance y próximos pasos.</w:t>
            </w:r>
          </w:p>
        </w:tc>
        <w:tc>
          <w:tcPr>
            <w:tcW w:type="dxa" w:w="5760"/>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Actualizar según productos comprobados y confirmar el calendario académico.</w:t>
            </w:r>
          </w:p>
        </w:tc>
      </w:tr>
    </w:tbl>
    <w:p>
      <w:pPr>
        <w:pStyle w:val="Heading2"/>
      </w:pPr>
      <w:r>
        <w:t>Estado comprobado de las siete etapas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52"/>
        <w:gridCol w:w="3384"/>
        <w:gridCol w:w="5112"/>
      </w:tblGrid>
      <w:tr>
        <w:trPr>
          <w:tblHeader/>
          <w:cantSplit/>
        </w:trPr>
        <w:tc>
          <w:tcPr>
            <w:tcW w:type="dxa" w:w="1152"/>
            <w:vAlign w:val="center"/>
            <w:tcMar>
              <w:top w:w="75" w:type="dxa"/>
              <w:bottom w:w="75" w:type="dxa"/>
              <w:left w:w="100" w:type="dxa"/>
              <w:right w:w="100" w:type="dxa"/>
            </w:tcMar>
            <w:shd w:fill="203B52"/>
          </w:tcPr>
          <w:p>
            <w:pPr>
              <w:keepNext w:val="0"/>
              <w:spacing w:before="0" w:after="40" w:line="257" w:lineRule="auto"/>
              <w:jc w:val="center"/>
            </w:pPr>
            <w:r>
              <w:rPr>
                <w:rFonts w:ascii="Arial" w:hAnsi="Arial"/>
                <w:b/>
                <w:color w:val="FFFFFF"/>
                <w:sz w:val="20"/>
              </w:rPr>
              <w:t>Etapa</w:t>
            </w:r>
          </w:p>
        </w:tc>
        <w:tc>
          <w:tcPr>
            <w:tcW w:type="dxa" w:w="3384"/>
            <w:vAlign w:val="center"/>
            <w:tcMar>
              <w:top w:w="75" w:type="dxa"/>
              <w:bottom w:w="75" w:type="dxa"/>
              <w:left w:w="100" w:type="dxa"/>
              <w:right w:w="100" w:type="dxa"/>
            </w:tcMar>
            <w:shd w:fill="203B52"/>
          </w:tcPr>
          <w:p>
            <w:pPr>
              <w:keepNext w:val="0"/>
              <w:spacing w:before="0" w:after="40" w:line="257" w:lineRule="auto"/>
            </w:pPr>
            <w:r>
              <w:rPr>
                <w:rFonts w:ascii="Arial" w:hAnsi="Arial"/>
                <w:b/>
                <w:color w:val="FFFFFF"/>
                <w:sz w:val="20"/>
              </w:rPr>
              <w:t>Material disponible</w:t>
            </w:r>
          </w:p>
        </w:tc>
        <w:tc>
          <w:tcPr>
            <w:tcW w:type="dxa" w:w="5112"/>
            <w:vAlign w:val="center"/>
            <w:tcMar>
              <w:top w:w="75" w:type="dxa"/>
              <w:bottom w:w="75" w:type="dxa"/>
              <w:left w:w="100" w:type="dxa"/>
              <w:right w:w="100" w:type="dxa"/>
            </w:tcMar>
            <w:shd w:fill="203B52"/>
          </w:tcPr>
          <w:p>
            <w:pPr>
              <w:keepNext w:val="0"/>
              <w:spacing w:before="0" w:after="40" w:line="257" w:lineRule="auto"/>
            </w:pPr>
            <w:r>
              <w:rPr>
                <w:rFonts w:ascii="Arial" w:hAnsi="Arial"/>
                <w:b/>
                <w:color w:val="FFFFFF"/>
                <w:sz w:val="20"/>
              </w:rPr>
              <w:t>Pendiente para conclusiones</w:t>
            </w:r>
          </w:p>
        </w:tc>
      </w:tr>
      <w:tr>
        <w:trPr>
          <w:cantSplit/>
        </w:trPr>
        <w:tc>
          <w:tcPr>
            <w:tcW w:type="dxa" w:w="1152"/>
            <w:vAlign w:val="center"/>
            <w:tcMar>
              <w:top w:w="75" w:type="dxa"/>
              <w:bottom w:w="75" w:type="dxa"/>
              <w:left w:w="100" w:type="dxa"/>
              <w:right w:w="100" w:type="dxa"/>
            </w:tcMar>
            <w:shd w:fill="FFFFFF"/>
          </w:tcPr>
          <w:p>
            <w:pPr>
              <w:keepNext w:val="0"/>
              <w:spacing w:before="0" w:after="40" w:line="257" w:lineRule="auto"/>
              <w:jc w:val="center"/>
            </w:pPr>
            <w:r>
              <w:rPr>
                <w:rFonts w:ascii="Arial" w:hAnsi="Arial"/>
                <w:b w:val="0"/>
                <w:color w:val="000000"/>
                <w:sz w:val="20"/>
              </w:rPr>
              <w:t>01 y 02</w:t>
            </w:r>
          </w:p>
        </w:tc>
        <w:tc>
          <w:tcPr>
            <w:tcW w:type="dxa" w:w="3384"/>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Scripts de inventario y unión técnica.</w:t>
            </w:r>
          </w:p>
        </w:tc>
        <w:tc>
          <w:tcPr>
            <w:tcW w:type="dxa" w:w="5112"/>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Productos de control y bases para las verificaciones que correspondan.</w:t>
            </w:r>
          </w:p>
        </w:tc>
      </w:tr>
      <w:tr>
        <w:trPr>
          <w:cantSplit/>
        </w:trPr>
        <w:tc>
          <w:tcPr>
            <w:tcW w:type="dxa" w:w="1152"/>
            <w:vAlign w:val="center"/>
            <w:tcMar>
              <w:top w:w="75" w:type="dxa"/>
              <w:bottom w:w="75" w:type="dxa"/>
              <w:left w:w="100" w:type="dxa"/>
              <w:right w:w="100" w:type="dxa"/>
            </w:tcMar>
            <w:shd w:fill="F0F4F7"/>
          </w:tcPr>
          <w:p>
            <w:pPr>
              <w:keepNext w:val="0"/>
              <w:spacing w:before="0" w:after="40" w:line="257" w:lineRule="auto"/>
              <w:jc w:val="center"/>
            </w:pPr>
            <w:r>
              <w:rPr>
                <w:rFonts w:ascii="Arial" w:hAnsi="Arial"/>
                <w:b w:val="0"/>
                <w:color w:val="000000"/>
                <w:sz w:val="20"/>
              </w:rPr>
              <w:t>03</w:t>
            </w:r>
          </w:p>
        </w:tc>
        <w:tc>
          <w:tcPr>
            <w:tcW w:type="dxa" w:w="3384"/>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Script de indicadores nacionales.</w:t>
            </w:r>
          </w:p>
        </w:tc>
        <w:tc>
          <w:tcPr>
            <w:tcW w:type="dxa" w:w="5112"/>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CSV nacional y auxiliares de su misma ejecución.</w:t>
            </w:r>
          </w:p>
        </w:tc>
      </w:tr>
      <w:tr>
        <w:trPr>
          <w:cantSplit/>
        </w:trPr>
        <w:tc>
          <w:tcPr>
            <w:tcW w:type="dxa" w:w="1152"/>
            <w:vAlign w:val="center"/>
            <w:tcMar>
              <w:top w:w="75" w:type="dxa"/>
              <w:bottom w:w="75" w:type="dxa"/>
              <w:left w:w="100" w:type="dxa"/>
              <w:right w:w="100" w:type="dxa"/>
            </w:tcMar>
            <w:shd w:fill="FFFFFF"/>
          </w:tcPr>
          <w:p>
            <w:pPr>
              <w:keepNext w:val="0"/>
              <w:spacing w:before="0" w:after="40" w:line="257" w:lineRule="auto"/>
              <w:jc w:val="center"/>
            </w:pPr>
            <w:r>
              <w:rPr>
                <w:rFonts w:ascii="Arial" w:hAnsi="Arial"/>
                <w:b w:val="0"/>
                <w:color w:val="000000"/>
                <w:sz w:val="20"/>
              </w:rPr>
              <w:t>04 y 05</w:t>
            </w:r>
          </w:p>
        </w:tc>
        <w:tc>
          <w:tcPr>
            <w:tcW w:type="dxa" w:w="3384"/>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Scripts demográfico y sectorial.</w:t>
            </w:r>
          </w:p>
        </w:tc>
        <w:tc>
          <w:tcPr>
            <w:tcW w:type="dxa" w:w="5112"/>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Tablas informes gráficos y controles de precisión.</w:t>
            </w:r>
          </w:p>
        </w:tc>
      </w:tr>
      <w:tr>
        <w:trPr>
          <w:cantSplit/>
        </w:trPr>
        <w:tc>
          <w:tcPr>
            <w:tcW w:type="dxa" w:w="1152"/>
            <w:vAlign w:val="center"/>
            <w:tcMar>
              <w:top w:w="75" w:type="dxa"/>
              <w:bottom w:w="75" w:type="dxa"/>
              <w:left w:w="100" w:type="dxa"/>
              <w:right w:w="100" w:type="dxa"/>
            </w:tcMar>
            <w:shd w:fill="F0F4F7"/>
          </w:tcPr>
          <w:p>
            <w:pPr>
              <w:keepNext w:val="0"/>
              <w:spacing w:before="0" w:after="40" w:line="257" w:lineRule="auto"/>
              <w:jc w:val="center"/>
            </w:pPr>
            <w:r>
              <w:rPr>
                <w:rFonts w:ascii="Arial" w:hAnsi="Arial"/>
                <w:b w:val="0"/>
                <w:color w:val="000000"/>
                <w:sz w:val="20"/>
              </w:rPr>
              <w:t>06</w:t>
            </w:r>
          </w:p>
        </w:tc>
        <w:tc>
          <w:tcPr>
            <w:tcW w:type="dxa" w:w="3384"/>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Bloque de lectura y validación preparado.</w:t>
            </w:r>
          </w:p>
        </w:tc>
        <w:tc>
          <w:tcPr>
            <w:tcW w:type="dxa" w:w="5112"/>
            <w:vAlign w:val="center"/>
            <w:tcMar>
              <w:top w:w="75" w:type="dxa"/>
              <w:bottom w:w="75" w:type="dxa"/>
              <w:left w:w="100" w:type="dxa"/>
              <w:right w:w="100" w:type="dxa"/>
            </w:tcMar>
            <w:shd w:fill="F0F4F7"/>
          </w:tcPr>
          <w:p>
            <w:pPr>
              <w:keepNext w:val="0"/>
              <w:spacing w:before="0" w:after="40" w:line="257" w:lineRule="auto"/>
            </w:pPr>
            <w:r>
              <w:rPr>
                <w:rFonts w:ascii="Arial" w:hAnsi="Arial"/>
                <w:b w:val="0"/>
                <w:color w:val="000000"/>
                <w:sz w:val="20"/>
              </w:rPr>
              <w:t>Entrada laboral y series macroeconómicas oficiales comparables.</w:t>
            </w:r>
          </w:p>
        </w:tc>
      </w:tr>
      <w:tr>
        <w:trPr>
          <w:cantSplit/>
        </w:trPr>
        <w:tc>
          <w:tcPr>
            <w:tcW w:type="dxa" w:w="1152"/>
            <w:vAlign w:val="center"/>
            <w:tcMar>
              <w:top w:w="75" w:type="dxa"/>
              <w:bottom w:w="75" w:type="dxa"/>
              <w:left w:w="100" w:type="dxa"/>
              <w:right w:w="100" w:type="dxa"/>
            </w:tcMar>
            <w:shd w:fill="FFFFFF"/>
          </w:tcPr>
          <w:p>
            <w:pPr>
              <w:keepNext w:val="0"/>
              <w:spacing w:before="0" w:after="40" w:line="257" w:lineRule="auto"/>
              <w:jc w:val="center"/>
            </w:pPr>
            <w:r>
              <w:rPr>
                <w:rFonts w:ascii="Arial" w:hAnsi="Arial"/>
                <w:b w:val="0"/>
                <w:color w:val="000000"/>
                <w:sz w:val="20"/>
              </w:rPr>
              <w:t>07</w:t>
            </w:r>
          </w:p>
        </w:tc>
        <w:tc>
          <w:tcPr>
            <w:tcW w:type="dxa" w:w="3384"/>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Registro documental y estrategia metodológica.</w:t>
            </w:r>
          </w:p>
        </w:tc>
        <w:tc>
          <w:tcPr>
            <w:tcW w:type="dxa" w:w="5112"/>
            <w:vAlign w:val="center"/>
            <w:tcMar>
              <w:top w:w="75" w:type="dxa"/>
              <w:bottom w:w="75" w:type="dxa"/>
              <w:left w:w="100" w:type="dxa"/>
              <w:right w:w="100" w:type="dxa"/>
            </w:tcMar>
            <w:shd w:fill="FFFFFF"/>
          </w:tcPr>
          <w:p>
            <w:pPr>
              <w:keepNext w:val="0"/>
              <w:spacing w:before="0" w:after="40" w:line="257" w:lineRule="auto"/>
            </w:pPr>
            <w:r>
              <w:rPr>
                <w:rFonts w:ascii="Arial" w:hAnsi="Arial"/>
                <w:b w:val="0"/>
                <w:color w:val="000000"/>
                <w:sz w:val="20"/>
              </w:rPr>
              <w:t>Fuentes leídas y evaluaciones; datos adicionales si se propone causalidad.</w:t>
            </w:r>
          </w:p>
        </w:tc>
      </w:tr>
    </w:tbl>
    <w:p>
      <w:pPr>
        <w:widowControl/>
        <w:spacing w:before="160"/>
      </w:pPr>
      <w:r>
        <w:rPr>
          <w:b w:val="0"/>
        </w:rPr>
        <w:t>Los scripts disponibles no acreditan resultados validados. Las cifras muestrales y el ejemplo didáctico de las notas del avance no se incorporan como hallazgos empíricos.</w:t>
      </w:r>
    </w:p>
    <w:p>
      <w:pPr>
        <w:pStyle w:val="Heading1"/>
        <w:pageBreakBefore/>
      </w:pPr>
      <w:r>
        <w:t>Próximas tareas y referencias</w:t>
      </w:r>
    </w:p>
    <w:p>
      <w:pPr>
        <w:pStyle w:val="Heading2"/>
      </w:pPr>
      <w:r>
        <w:t>Secuencia de trabajo</w:t>
      </w:r>
    </w:p>
    <w:p>
      <w:pPr>
        <w:pStyle w:val="ListBullet"/>
        <w:widowControl/>
      </w:pPr>
      <w:r>
        <w:rPr>
          <w:b w:val="0"/>
        </w:rPr>
        <w:t>Incorporar indicadores_nacionales_AMJ_2010_2025.csv y sus controles de la misma ejecución. Revisar procedencia y versiones antes de elegir entradas.</w:t>
      </w:r>
    </w:p>
    <w:p>
      <w:pPr>
        <w:pStyle w:val="ListBullet"/>
        <w:widowControl/>
      </w:pPr>
      <w:r>
        <w:rPr>
          <w:b w:val="0"/>
        </w:rPr>
        <w:t>Revisar los productos 04 y 05, sus grupos, precisión y límites sectoriales. No repetir procesos completos si las salidas existentes son utilizables.</w:t>
      </w:r>
    </w:p>
    <w:p>
      <w:pPr>
        <w:pStyle w:val="ListBullet"/>
        <w:widowControl/>
      </w:pPr>
      <w:r>
        <w:rPr>
          <w:b w:val="0"/>
        </w:rPr>
        <w:t>Definir la dimensión socioeconómica y verificar variables y fuentes. Mantener educación, ingreso y estrato muestral como conceptos distintos.</w:t>
      </w:r>
    </w:p>
    <w:p>
      <w:pPr>
        <w:pStyle w:val="ListBullet"/>
        <w:widowControl/>
      </w:pPr>
      <w:r>
        <w:rPr>
          <w:b w:val="0"/>
        </w:rPr>
        <w:t>Documentar PIB, FBKF e IPC y construir la base AMJ comparable. Elaborar gráficos antes de decidir si corresponde una estimación exploratoria.</w:t>
      </w:r>
    </w:p>
    <w:p>
      <w:pPr>
        <w:pStyle w:val="ListBullet"/>
        <w:widowControl/>
      </w:pPr>
      <w:r>
        <w:rPr>
          <w:b w:val="0"/>
        </w:rPr>
        <w:t>Leer las normas, fichas y evaluaciones; completar cronología y matriz de evidencia. Integrar las conclusiones con el alcance efectivo de los datos.</w:t>
      </w:r>
    </w:p>
    <w:p>
      <w:pPr>
        <w:widowControl/>
      </w:pPr>
      <w:r>
        <w:rPr>
          <w:b w:val="0"/>
        </w:rPr>
        <w:t>Los plazos consignados en la presentación deben confirmarse con el calendario del curso. Este informe organiza las tareas necesarias; no modifica compromisos académicos ni declara cerrada la investigación.</w:t>
      </w:r>
    </w:p>
    <w:p>
      <w:pPr>
        <w:pStyle w:val="Heading2"/>
      </w:pPr>
      <w:r>
        <w:t>Material consultado del proyecto</w:t>
      </w:r>
    </w:p>
    <w:p>
      <w:pPr>
        <w:widowControl/>
      </w:pPr>
      <w:r>
        <w:rPr>
          <w:b w:val="0"/>
        </w:rPr>
        <w:t>[P1] Barreda, Andrés. Presentación de primer avance, octubre de 2026. Se revisaron las siete diapositivas, sus tablas y notas. Documento de trabajo del estudio.</w:t>
      </w:r>
    </w:p>
    <w:p>
      <w:pPr>
        <w:widowControl/>
      </w:pPr>
      <w:r>
        <w:rPr>
          <w:b w:val="0"/>
        </w:rPr>
        <w:t>[P2] Scripts 01–05 aportados por el estudiante y programas 06–07 del proyecto. Revisión de código y de los controles disponibles en esta sesión. Los productos empíricos originales no se recibieron.</w:t>
      </w:r>
    </w:p>
    <w:p>
      <w:pPr>
        <w:widowControl/>
      </w:pPr>
      <w:r>
        <w:rPr>
          <w:b w:val="0"/>
        </w:rPr>
        <w:t>[P3] Sugerencias de Alex Espinaza, comunicación compartida por el estudiante con fecha 24 de octubre de 2026. Texto parcialmente truncado. Se incorpora la propuesta de orden y ampliación, sin atribuir a la parte faltante una conclusión.</w:t>
      </w:r>
    </w:p>
    <w:p>
      <w:pPr>
        <w:pStyle w:val="Heading2"/>
      </w:pPr>
      <w:r>
        <w:t>Referencias propuestas pendientes de lectura</w:t>
      </w:r>
    </w:p>
    <w:p>
      <w:pPr>
        <w:widowControl/>
      </w:pPr>
      <w:r>
        <w:rPr>
          <w:b w:val="0"/>
        </w:rPr>
        <w:t xml:space="preserve">[L1] </w:t>
      </w:r>
      <w:hyperlink r:id="rId10">
        <w:r>
          <w:rPr>
            <w:color w:val="215B86"/>
          </w:rPr>
          <w:t>Documento PDF enlazado al CEP</w:t>
        </w:r>
      </w:hyperlink>
    </w:p>
    <w:p>
      <w:pPr>
        <w:widowControl/>
      </w:pPr>
      <w:r>
        <w:rPr>
          <w:b w:val="0"/>
        </w:rPr>
        <w:t>Autoría, título, fecha, método y resultados pendientes de verificación. El nombre del archivo no se utiliza como ficha bibliográfica.</w:t>
      </w:r>
    </w:p>
    <w:p>
      <w:pPr>
        <w:widowControl/>
      </w:pPr>
      <w:r>
        <w:rPr>
          <w:b w:val="0"/>
        </w:rPr>
        <w:t xml:space="preserve">[L2] </w:t>
      </w:r>
      <w:hyperlink r:id="rId11">
        <w:r>
          <w:rPr>
            <w:color w:val="215B86"/>
          </w:rPr>
          <w:t>Página enlazada del sitio encuestas UC</w:t>
        </w:r>
      </w:hyperlink>
    </w:p>
    <w:p>
      <w:pPr>
        <w:widowControl/>
      </w:pPr>
      <w:r>
        <w:rPr>
          <w:b w:val="0"/>
        </w:rPr>
        <w:t>Contenido y metadatos pendientes de verificación. Los intentos de consulta de L1 y L2 del 29 de octubre de 2026 fueron bloqueados por la política de red; no equivalen a lectura de las fuentes.</w:t>
      </w:r>
    </w:p>
    <w:sectPr w:rsidR="00FC693F" w:rsidRPr="0006063C" w:rsidSect="00034616">
      <w:footerReference w:type="default" r:id="rId9"/>
      <w:pgSz w:w="12240" w:h="15840"/>
      <w:pgMar w:top="1224" w:right="1296" w:bottom="1152"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59"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tatic.cepchile.cl/uploads/cepchile/2022/09/pder457_fszederkenyi_rvergara.pdf" TargetMode="External"/><Relationship Id="rId11" Type="http://schemas.openxmlformats.org/officeDocument/2006/relationships/hyperlink" Target="https://encuestas.uc.cl/?p=27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por género y edad del desempleo en Chile en los últimos años</dc:title>
  <dc:subject>Informe de avance y propuesta de ampliación AMJ 2010–2025</dc:subject>
  <dc:creator>Andrés Barreda</dc:creator>
  <cp:keywords>ENE, Chile, empleo, sexo, edad, AMJ, Política Económica</cp:keywords>
  <dc:description/>
  <cp:lastModifiedBy/>
  <cp:revision>1</cp:revision>
  <dcterms:created xsi:type="dcterms:W3CDTF">2013-12-23T23:15:00Z</dcterms:created>
  <dcterms:modified xsi:type="dcterms:W3CDTF">2013-12-23T23:15:00Z</dcterms:modified>
  <cp:category/>
</cp:coreProperties>
</file>