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057B8"/>
          <w:sz w:val="56"/>
          <w:szCs w:val="56"/>
        </w:rPr>
        <w:t xml:space="preserve">tigo</w:t>
      </w:r>
    </w:p>
    <w:p>
      <w:pPr>
        <w:spacing w:after="0" w:before="360"/>
        <w:jc w:val="center"/>
      </w:pPr>
      <w:r>
        <w:rPr>
          <w:b/>
          <w:bCs/>
          <w:color w:val="002E6D"/>
          <w:sz w:val="42"/>
          <w:szCs w:val="42"/>
        </w:rPr>
        <w:t xml:space="preserve">DOCUMENTO DE REQUISITOS</w:t>
      </w:r>
    </w:p>
    <w:p>
      <w:pPr>
        <w:spacing w:after="60"/>
        <w:jc w:val="center"/>
      </w:pPr>
      <w:r>
        <w:rPr>
          <w:color w:val="0057B8"/>
          <w:sz w:val="26"/>
          <w:szCs w:val="26"/>
        </w:rPr>
        <w:t xml:space="preserve">P25 — Geolocalización y Rutas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Bootcamp de Desarrollo · backend · complejidad media · Tigo Library</w:t>
      </w:r>
    </w:p>
    <w:p>
      <w:pPr>
        <w:spacing w:after="5800"/>
      </w:pPr>
    </w:p>
    <w:tbl>
      <w:tblPr>
        <w:tblW w:type="dxa" w:w="4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050"/>
      </w:tblGrid>
      <w:tr>
        <w:trPr>
          <w:cantSplit/>
        </w:trPr>
        <w:tc>
          <w:tcPr>
            <w:tcW w:type="dxa" w:w="4000"/>
            <w:gridSpan w:val="2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02E6D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2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33333"/>
                <w:sz w:val="16"/>
                <w:szCs w:val="16"/>
              </w:rPr>
              <w:t xml:space="preserve">Jherzon Nava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02E6D"/>
                <w:sz w:val="16"/>
                <w:szCs w:val="16"/>
              </w:rPr>
              <w:t xml:space="preserve">Versión</w:t>
            </w:r>
          </w:p>
        </w:tc>
        <w:tc>
          <w:tcPr>
            <w:tcW w:type="dxa" w:w="2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33333"/>
                <w:sz w:val="16"/>
                <w:szCs w:val="16"/>
              </w:rPr>
              <w:t xml:space="preserve">Versión 1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02E6D"/>
                <w:sz w:val="16"/>
                <w:szCs w:val="16"/>
              </w:rPr>
              <w:t xml:space="preserve">Fecha de creación</w:t>
            </w:r>
          </w:p>
        </w:tc>
        <w:tc>
          <w:tcPr>
            <w:tcW w:type="dxa" w:w="2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33333"/>
                <w:sz w:val="16"/>
                <w:szCs w:val="16"/>
              </w:rPr>
              <w:t xml:space="preserve">8 de julio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keepNext w:val="false"/>
        <w:spacing w:after="110"/>
      </w:pPr>
      <w:r>
        <w:t xml:space="preserve">Este documento especifica los requisitos del proyecto P25 — Geolocalización y Rutas, un servicio backend individual de complejidad media, construido desde el template oficial con consumo de Tigo Library. Contiene los requisitos comunes del bootcamp (sección 2) y la especificación funcional y no funcional del proyecto (sección 3).</w:t>
      </w:r>
    </w:p>
    <w:p>
      <w:pPr>
        <w:pStyle w:val="Heading1"/>
      </w:pPr>
      <w:r>
        <w:t xml:space="preserve">2. Requisitos comunes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2.1 Técnicos y de arquitectura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Arquitectura documentada: C4, BP, HLD, LLD y TestCases.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REST/JSON, versionado (/api/v1) y manejo de errores estandarizado.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Autenticación/autorización según el dominio; validación de entradas.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Proyecto creado desde el template oficial; consumo de Tigo Library.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2.2 No funcionales obligatorios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Cobertura de pruebas unitarias ≥ 85%, con casos borde y mocks.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Seguridad: SAST y DAST (AppScan) sin hallazgos críticos ni altos.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Contenedor: Trivy sin vulnerabilidades críticas ni altas.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Rendimiento (K6): p95 ≤ 500 ms y tasa de error &lt; 1%.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CI/CD con Jenkins (build, test, scan) y despliegue en Dev y QA.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Documentación NIST y OpenAPI completas.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2.3 Criterios de aceptación comunes</w:t>
      </w:r>
    </w:p>
    <w:p>
      <w:pPr>
        <w:keepNext w:val="false"/>
        <w:spacing w:after="110"/>
      </w:pPr>
      <w:r>
        <w:t xml:space="preserve">El proyecto se acepta cuando: (a) todos sus requisitos funcionales están implementados y probados; (b) cumple los requisitos no funcionales de 2.2; (c) está desplegado y verificado en Dev y QA; y (d) tiene la documentación completa.</w:t>
      </w:r>
    </w:p>
    <w:p>
      <w:r>
        <w:br w:type="page"/>
      </w:r>
    </w:p>
    <w:p>
      <w:pPr>
        <w:pStyle w:val="Heading1"/>
      </w:pPr>
      <w:r>
        <w:t xml:space="preserve">3. Especificación del proyecto P25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002E6D"/>
                <w:sz w:val="16"/>
                <w:szCs w:val="16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Geolocalización y Rutas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002E6D"/>
                <w:sz w:val="16"/>
                <w:szCs w:val="16"/>
              </w:rPr>
              <w:t xml:space="preserve">Dominio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Logística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002E6D"/>
                <w:sz w:val="16"/>
                <w:szCs w:val="16"/>
              </w:rPr>
              <w:t xml:space="preserve">Integrante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Integrante 25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002E6D"/>
                <w:sz w:val="16"/>
                <w:szCs w:val="16"/>
              </w:rPr>
              <w:t xml:space="preserve">Consumo de Tigo Library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Conector de mapas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002E6D"/>
                <w:sz w:val="16"/>
                <w:szCs w:val="16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Backend · complejidad media</w:t>
            </w:r>
          </w:p>
        </w:tc>
      </w:tr>
    </w:tbl>
    <w:p>
      <w:pPr>
        <w:spacing w:after="60"/>
      </w:pPr>
    </w:p>
    <w:p>
      <w:pPr>
        <w:keepNext/>
        <w:spacing w:after="70"/>
      </w:pPr>
      <w:r>
        <w:rPr>
          <w:b/>
          <w:bCs/>
          <w:color w:val="002E6D"/>
        </w:rPr>
        <w:t xml:space="preserve">Descripción:  </w:t>
      </w:r>
      <w:r>
        <w:t xml:space="preserve">Geocodifica direcciones y calcula rutas, distancias y tiempos estimados, con caché de resultados, consumiendo el conector de mapas.</w:t>
      </w:r>
    </w:p>
    <w:p>
      <w:pPr>
        <w:keepNext/>
        <w:spacing w:after="70"/>
      </w:pPr>
      <w:r>
        <w:rPr>
          <w:b/>
          <w:bCs/>
          <w:color w:val="002E6D"/>
        </w:rPr>
        <w:t xml:space="preserve">Actores:  </w:t>
      </w:r>
      <w:r>
        <w:t xml:space="preserve">Servicio de envíos, Cliente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Entidades y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Entidad</w:t>
            </w:r>
          </w:p>
        </w:tc>
        <w:tc>
          <w:tcPr>
            <w:tcW w:type="dxa" w:w="68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Atributos principales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Dirección</w:t>
            </w:r>
          </w:p>
        </w:tc>
        <w:tc>
          <w:tcPr>
            <w:tcW w:type="dxa" w:w="68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texto, lat, lng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Ruta</w:t>
            </w:r>
          </w:p>
        </w:tc>
        <w:tc>
          <w:tcPr>
            <w:tcW w:type="dxa" w:w="68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origen, destino, distancia, duración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Punto</w:t>
            </w:r>
          </w:p>
        </w:tc>
        <w:tc>
          <w:tcPr>
            <w:tcW w:type="dxa" w:w="68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lat, lng</w:t>
            </w:r>
          </w:p>
        </w:tc>
      </w:tr>
    </w:tbl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50"/>
        <w:gridCol w:w="2350"/>
        <w:gridCol w:w="3060"/>
      </w:tblGrid>
      <w:tr>
        <w:trPr>
          <w:cantSplit/>
          <w:tblHeader/>
        </w:trPr>
        <w:tc>
          <w:tcPr>
            <w:tcW w:type="dxa" w:w="9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23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Endpoint REST</w:t>
            </w:r>
          </w:p>
        </w:tc>
        <w:tc>
          <w:tcPr>
            <w:tcW w:type="dxa" w:w="30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002E6D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Reglas / validaciones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0057B8"/>
                <w:sz w:val="16"/>
                <w:szCs w:val="16"/>
              </w:rPr>
              <w:t xml:space="preserve">RF-25.1</w:t>
            </w:r>
          </w:p>
        </w:tc>
        <w:tc>
          <w:tcPr>
            <w:tcW w:type="dxa" w:w="3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Geocodificar dirección</w:t>
            </w:r>
          </w:p>
        </w:tc>
        <w:tc>
          <w:tcPr>
            <w:tcW w:type="dxa" w:w="23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POST /api/v1/geo/geocode</w:t>
            </w:r>
          </w:p>
        </w:tc>
        <w:tc>
          <w:tcPr>
            <w:tcW w:type="dxa" w:w="30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Dirección no vacía; devuelve coordenadas.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0057B8"/>
                <w:sz w:val="16"/>
                <w:szCs w:val="16"/>
              </w:rPr>
              <w:t xml:space="preserve">RF-25.2</w:t>
            </w:r>
          </w:p>
        </w:tc>
        <w:tc>
          <w:tcPr>
            <w:tcW w:type="dxa" w:w="3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Calcular ruta</w:t>
            </w:r>
          </w:p>
        </w:tc>
        <w:tc>
          <w:tcPr>
            <w:tcW w:type="dxa" w:w="23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POST /api/v1/geo/route</w:t>
            </w:r>
          </w:p>
        </w:tc>
        <w:tc>
          <w:tcPr>
            <w:tcW w:type="dxa" w:w="30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Origen y destino válidos.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0057B8"/>
                <w:sz w:val="16"/>
                <w:szCs w:val="16"/>
              </w:rPr>
              <w:t xml:space="preserve">RF-25.3</w:t>
            </w:r>
          </w:p>
        </w:tc>
        <w:tc>
          <w:tcPr>
            <w:tcW w:type="dxa" w:w="3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Calcular distancia/tiempo</w:t>
            </w:r>
          </w:p>
        </w:tc>
        <w:tc>
          <w:tcPr>
            <w:tcW w:type="dxa" w:w="23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POST /api/v1/geo/distance</w:t>
            </w:r>
          </w:p>
        </w:tc>
        <w:tc>
          <w:tcPr>
            <w:tcW w:type="dxa" w:w="30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Devuelve distancia y duración estimada.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0057B8"/>
                <w:sz w:val="16"/>
                <w:szCs w:val="16"/>
              </w:rPr>
              <w:t xml:space="preserve">RF-25.4</w:t>
            </w:r>
          </w:p>
        </w:tc>
        <w:tc>
          <w:tcPr>
            <w:tcW w:type="dxa" w:w="30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Cachear resultados</w:t>
            </w:r>
          </w:p>
        </w:tc>
        <w:tc>
          <w:tcPr>
            <w:tcW w:type="dxa" w:w="235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(interno) cache geocodificación</w:t>
            </w:r>
          </w:p>
        </w:tc>
        <w:tc>
          <w:tcPr>
            <w:tcW w:type="dxa" w:w="3060"/>
            <w:tcBorders>
              <w:top w:val="single" w:color="BFC9DA" w:sz="1"/>
              <w:left w:val="single" w:color="BFC9DA" w:sz="1"/>
              <w:bottom w:val="single" w:color="BFC9DA" w:sz="1"/>
              <w:right w:val="single" w:color="BFC9DA" w:sz="1"/>
            </w:tcBorders>
            <w:shd w:fill="F2F5FA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TTL configurable.</w:t>
            </w:r>
          </w:p>
        </w:tc>
      </w:tr>
    </w:tbl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resultados de geocodificación se cachean.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coordenadas se validan dentro de rango.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llamada al proveedor se limita/reintenta ante fallos.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Requisitos no funcionales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Caché de geocodificación y rate limiting hacia el proveedor.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Tolerancia a fallos del proveedor de mapas.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Aplican además los NFR obligatorios (sección 2.2): cobertura ≥85%, SAST/DAST y Trivy sin críticos/altos, K6 p95 ≤ 500 ms y error &lt; 1%, CI/CD Jenkins con despliegue en Dev y QA, y documentación NIST/OpenAPI.</w:t>
      </w:r>
    </w:p>
    <w:p>
      <w:pPr>
        <w:keepNext/>
        <w:spacing w:after="60" w:before="120"/>
      </w:pPr>
      <w:r>
        <w:rPr>
          <w:b/>
          <w:bCs/>
          <w:color w:val="002E6D"/>
          <w:sz w:val="20"/>
          <w:szCs w:val="20"/>
        </w:rPr>
        <w:t xml:space="preserve">Criterios de aceptación específicos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geocodificación devuelve coordenadas válidas.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cálculo de ruta retorna distancia y tiempo.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consultas repetidas se sirven desde caché.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Requisitos P25 · Bootcamp de Desarrollo Tigo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Arial" w:cs="Arial" w:eastAsia="Arial" w:hAnsi="Arial"/>
      <w:b/>
      <w:bCs/>
      <w:color w:val="002E6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120"/>
      <w:outlineLvl w:val="1"/>
    </w:pPr>
    <w:rPr>
      <w:rFonts w:ascii="Arial" w:cs="Arial" w:eastAsia="Arial" w:hAnsi="Arial"/>
      <w:b/>
      <w:bCs/>
      <w:color w:val="0057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2026-07-15T11:59:24.678Z</dcterms:created>
  <dcterms:modified xsi:type="dcterms:W3CDTF">2026-07-15T11:59:24.678Z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