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EDD36" w14:textId="77777777" w:rsidR="00821522" w:rsidRPr="004F34AD" w:rsidRDefault="00A114B3">
      <w:pPr>
        <w:spacing w:after="200" w:line="360" w:lineRule="auto"/>
        <w:jc w:val="both"/>
        <w:rPr>
          <w:rFonts w:ascii="Arial" w:eastAsia="Arial" w:hAnsi="Arial" w:cs="Arial"/>
          <w:sz w:val="24"/>
          <w:u w:val="single"/>
          <w:lang w:val="es-CR"/>
        </w:rPr>
      </w:pPr>
      <w:r w:rsidRPr="004F34AD">
        <w:rPr>
          <w:rFonts w:ascii="Arial" w:eastAsia="Arial" w:hAnsi="Arial" w:cs="Arial"/>
          <w:sz w:val="24"/>
          <w:u w:val="single"/>
          <w:lang w:val="es-CR"/>
        </w:rPr>
        <w:t>Comprobación de lectura</w:t>
      </w:r>
    </w:p>
    <w:p w14:paraId="39295476" w14:textId="77777777" w:rsidR="00821522" w:rsidRPr="004F34AD" w:rsidRDefault="00A114B3">
      <w:pPr>
        <w:spacing w:after="200" w:line="360" w:lineRule="auto"/>
        <w:jc w:val="both"/>
        <w:rPr>
          <w:rFonts w:ascii="Arial" w:eastAsia="Arial" w:hAnsi="Arial" w:cs="Arial"/>
          <w:sz w:val="24"/>
          <w:lang w:val="es-CR"/>
        </w:rPr>
      </w:pPr>
      <w:r w:rsidRPr="004F34AD">
        <w:rPr>
          <w:rFonts w:ascii="Arial" w:eastAsia="Arial" w:hAnsi="Arial" w:cs="Arial"/>
          <w:sz w:val="24"/>
          <w:lang w:val="es-CR"/>
        </w:rPr>
        <w:t>Donovan Quesada Aguilar y Andrés Carvajal López</w:t>
      </w:r>
    </w:p>
    <w:p w14:paraId="625FAC5A" w14:textId="77777777" w:rsidR="004F34AD" w:rsidRPr="004F34AD" w:rsidRDefault="00A114B3">
      <w:pPr>
        <w:numPr>
          <w:ilvl w:val="0"/>
          <w:numId w:val="1"/>
        </w:numPr>
        <w:spacing w:after="200" w:line="360" w:lineRule="auto"/>
        <w:ind w:left="360" w:hanging="360"/>
        <w:jc w:val="both"/>
        <w:rPr>
          <w:rFonts w:ascii="Arial" w:eastAsia="Arial" w:hAnsi="Arial" w:cs="Arial"/>
          <w:sz w:val="24"/>
          <w:lang w:val="es-CR"/>
        </w:rPr>
      </w:pPr>
      <w:r w:rsidRPr="004F34AD">
        <w:rPr>
          <w:rFonts w:ascii="Arial" w:eastAsia="Arial" w:hAnsi="Arial" w:cs="Arial"/>
          <w:b/>
          <w:sz w:val="24"/>
          <w:lang w:val="es-CR"/>
        </w:rPr>
        <w:t>Régimen de pensiones:</w:t>
      </w:r>
    </w:p>
    <w:p w14:paraId="0199F662" w14:textId="7459EDE5" w:rsidR="00821522" w:rsidRPr="004F34AD" w:rsidRDefault="008D0348" w:rsidP="009A79CE">
      <w:pPr>
        <w:spacing w:after="200" w:line="360" w:lineRule="auto"/>
        <w:ind w:left="360"/>
        <w:jc w:val="both"/>
        <w:rPr>
          <w:rFonts w:ascii="Arial" w:eastAsia="Arial" w:hAnsi="Arial" w:cs="Arial"/>
          <w:sz w:val="24"/>
          <w:lang w:val="es-CR"/>
        </w:rPr>
      </w:pPr>
      <w:r>
        <w:rPr>
          <w:rFonts w:ascii="Arial" w:eastAsia="Arial" w:hAnsi="Arial" w:cs="Arial"/>
          <w:sz w:val="24"/>
          <w:lang w:val="es-CR"/>
        </w:rPr>
        <w:t xml:space="preserve">En clase se estudió el régimen de pensiones costarricense, el cual </w:t>
      </w:r>
      <w:r w:rsidR="00A114B3" w:rsidRPr="004F34AD">
        <w:rPr>
          <w:rFonts w:ascii="Arial" w:eastAsia="Arial" w:hAnsi="Arial" w:cs="Arial"/>
          <w:sz w:val="24"/>
          <w:lang w:val="es-CR"/>
        </w:rPr>
        <w:t>se basa en un régimen mixto que combina un sistema público y un sistema privado. El régimen público es administrado por la CCSS, esta ofrece pensiones por jubilación, invalidez y sobrevivencia financiadas por empleadores y empleados</w:t>
      </w:r>
      <w:r w:rsidR="00A114B3" w:rsidRPr="004F34AD">
        <w:rPr>
          <w:rFonts w:ascii="Arial" w:eastAsia="Arial" w:hAnsi="Arial" w:cs="Arial"/>
          <w:sz w:val="24"/>
          <w:lang w:val="es-CR"/>
        </w:rPr>
        <w:t xml:space="preserve">. Este subsidio es pagado por una población activa que se ha ido encogiendo a lo largo del tiempo, en relación con los pensionados. El régimen privado permite a los trabajadores cotizar a fondos de pensiones administrados por entidades privadas. </w:t>
      </w:r>
      <w:r>
        <w:rPr>
          <w:rFonts w:ascii="Arial" w:eastAsia="Arial" w:hAnsi="Arial" w:cs="Arial"/>
          <w:sz w:val="24"/>
          <w:lang w:val="es-CR"/>
        </w:rPr>
        <w:t>En la lectura se estudia el ROP, es decir, el Régimen Obligatorio de Pensiones Complementario</w:t>
      </w:r>
      <w:r w:rsidR="009A79CE">
        <w:rPr>
          <w:rFonts w:ascii="Arial" w:eastAsia="Arial" w:hAnsi="Arial" w:cs="Arial"/>
          <w:sz w:val="24"/>
          <w:lang w:val="es-CR"/>
        </w:rPr>
        <w:t xml:space="preserve"> y la LPD, la Ley de Protección del Trabajador. Por otra parte, en clase y en la lectura se estudia las problemáticas del sistema de pensiones, como la existencia de </w:t>
      </w:r>
      <w:r w:rsidR="00A114B3" w:rsidRPr="004F34AD">
        <w:rPr>
          <w:rFonts w:ascii="Arial" w:eastAsia="Arial" w:hAnsi="Arial" w:cs="Arial"/>
          <w:sz w:val="24"/>
          <w:lang w:val="es-CR"/>
        </w:rPr>
        <w:t xml:space="preserve">una tasa tan alta de personas mayores que aún trabajan (y que va en ascenso) </w:t>
      </w:r>
      <w:r w:rsidR="009A79CE">
        <w:rPr>
          <w:rFonts w:ascii="Arial" w:eastAsia="Arial" w:hAnsi="Arial" w:cs="Arial"/>
          <w:sz w:val="24"/>
          <w:lang w:val="es-CR"/>
        </w:rPr>
        <w:t xml:space="preserve">que </w:t>
      </w:r>
      <w:r w:rsidR="00A114B3" w:rsidRPr="004F34AD">
        <w:rPr>
          <w:rFonts w:ascii="Arial" w:eastAsia="Arial" w:hAnsi="Arial" w:cs="Arial"/>
          <w:sz w:val="24"/>
          <w:lang w:val="es-CR"/>
        </w:rPr>
        <w:t xml:space="preserve">priva de </w:t>
      </w:r>
      <w:r w:rsidR="00A114B3" w:rsidRPr="004F34AD">
        <w:rPr>
          <w:rFonts w:ascii="Arial" w:eastAsia="Arial" w:hAnsi="Arial" w:cs="Arial"/>
          <w:sz w:val="24"/>
          <w:lang w:val="es-CR"/>
        </w:rPr>
        <w:t>oportunidades laborales para las personas jóvenes</w:t>
      </w:r>
      <w:r w:rsidR="009A79CE">
        <w:rPr>
          <w:rFonts w:ascii="Arial" w:eastAsia="Arial" w:hAnsi="Arial" w:cs="Arial"/>
          <w:sz w:val="24"/>
          <w:lang w:val="es-CR"/>
        </w:rPr>
        <w:t>; a</w:t>
      </w:r>
      <w:r w:rsidR="00A114B3" w:rsidRPr="004F34AD">
        <w:rPr>
          <w:rFonts w:ascii="Arial" w:eastAsia="Arial" w:hAnsi="Arial" w:cs="Arial"/>
          <w:sz w:val="24"/>
          <w:lang w:val="es-CR"/>
        </w:rPr>
        <w:t>demás</w:t>
      </w:r>
      <w:r w:rsidR="009A79CE">
        <w:rPr>
          <w:rFonts w:ascii="Arial" w:eastAsia="Arial" w:hAnsi="Arial" w:cs="Arial"/>
          <w:sz w:val="24"/>
          <w:lang w:val="es-CR"/>
        </w:rPr>
        <w:t xml:space="preserve">, </w:t>
      </w:r>
      <w:r w:rsidR="00A114B3" w:rsidRPr="004F34AD">
        <w:rPr>
          <w:rFonts w:ascii="Arial" w:eastAsia="Arial" w:hAnsi="Arial" w:cs="Arial"/>
          <w:sz w:val="24"/>
          <w:lang w:val="es-CR"/>
        </w:rPr>
        <w:t>la esperanza de vida está aumentando</w:t>
      </w:r>
      <w:r w:rsidR="009A79CE">
        <w:rPr>
          <w:rFonts w:ascii="Arial" w:eastAsia="Arial" w:hAnsi="Arial" w:cs="Arial"/>
          <w:sz w:val="24"/>
          <w:lang w:val="es-CR"/>
        </w:rPr>
        <w:t>,</w:t>
      </w:r>
      <w:r w:rsidR="00A114B3" w:rsidRPr="004F34AD">
        <w:rPr>
          <w:rFonts w:ascii="Arial" w:eastAsia="Arial" w:hAnsi="Arial" w:cs="Arial"/>
          <w:sz w:val="24"/>
          <w:lang w:val="es-CR"/>
        </w:rPr>
        <w:t xml:space="preserve"> </w:t>
      </w:r>
      <w:r w:rsidR="009A79CE">
        <w:rPr>
          <w:rFonts w:ascii="Arial" w:eastAsia="Arial" w:hAnsi="Arial" w:cs="Arial"/>
          <w:sz w:val="24"/>
          <w:lang w:val="es-CR"/>
        </w:rPr>
        <w:t>por consecuencia</w:t>
      </w:r>
      <w:r w:rsidR="00A114B3" w:rsidRPr="004F34AD">
        <w:rPr>
          <w:rFonts w:ascii="Arial" w:eastAsia="Arial" w:hAnsi="Arial" w:cs="Arial"/>
          <w:sz w:val="24"/>
          <w:lang w:val="es-CR"/>
        </w:rPr>
        <w:t xml:space="preserve"> van a haber más personas que van a necesitar una pensión por lo que el presupuesto </w:t>
      </w:r>
      <w:r w:rsidR="009A79CE">
        <w:rPr>
          <w:rFonts w:ascii="Arial" w:eastAsia="Arial" w:hAnsi="Arial" w:cs="Arial"/>
          <w:sz w:val="24"/>
          <w:lang w:val="es-CR"/>
        </w:rPr>
        <w:t>disminuye aún más</w:t>
      </w:r>
      <w:r w:rsidR="00A114B3" w:rsidRPr="004F34AD">
        <w:rPr>
          <w:rFonts w:ascii="Arial" w:eastAsia="Arial" w:hAnsi="Arial" w:cs="Arial"/>
          <w:sz w:val="24"/>
          <w:lang w:val="es-CR"/>
        </w:rPr>
        <w:t>.</w:t>
      </w:r>
    </w:p>
    <w:p w14:paraId="2E5DB711" w14:textId="77777777" w:rsidR="008D0348" w:rsidRDefault="00A114B3" w:rsidP="008D0348">
      <w:pPr>
        <w:spacing w:after="200" w:line="360" w:lineRule="auto"/>
        <w:ind w:left="720"/>
        <w:jc w:val="both"/>
        <w:rPr>
          <w:rFonts w:ascii="Arial" w:eastAsia="Arial" w:hAnsi="Arial" w:cs="Arial"/>
          <w:sz w:val="24"/>
          <w:lang w:val="es-CR"/>
        </w:rPr>
      </w:pPr>
      <w:r w:rsidRPr="004F34AD">
        <w:rPr>
          <w:rFonts w:ascii="Arial" w:eastAsia="Arial" w:hAnsi="Arial" w:cs="Arial"/>
          <w:sz w:val="24"/>
          <w:lang w:val="es-CR"/>
        </w:rPr>
        <w:t>Luego se estudia la forma en que opera el Ré</w:t>
      </w:r>
      <w:r w:rsidRPr="004F34AD">
        <w:rPr>
          <w:rFonts w:ascii="Arial" w:eastAsia="Arial" w:hAnsi="Arial" w:cs="Arial"/>
          <w:sz w:val="24"/>
          <w:lang w:val="es-CR"/>
        </w:rPr>
        <w:t>gimen Obligatorio de Pensiones Complementario (ROP) y se argumenta que este pilar de protección no puede ser visto de forma separada al problema de sostenibilidad del IVM, pues en un futuro la pensión del ROP sustituirá la pérdida en el valor de la pensión</w:t>
      </w:r>
      <w:r w:rsidRPr="004F34AD">
        <w:rPr>
          <w:rFonts w:ascii="Arial" w:eastAsia="Arial" w:hAnsi="Arial" w:cs="Arial"/>
          <w:sz w:val="24"/>
          <w:lang w:val="es-CR"/>
        </w:rPr>
        <w:t xml:space="preserve"> del IVM, ante la imposibilidad de seguir financiando el porcentaje de salario que hoy se paga. (p. 1</w:t>
      </w:r>
      <w:r w:rsidRPr="004F34AD">
        <w:rPr>
          <w:rFonts w:ascii="Arial" w:eastAsia="Arial" w:hAnsi="Arial" w:cs="Arial"/>
          <w:sz w:val="24"/>
          <w:lang w:val="es-CR"/>
        </w:rPr>
        <w:t>2</w:t>
      </w:r>
      <w:r w:rsidRPr="004F34AD">
        <w:rPr>
          <w:rFonts w:ascii="Arial" w:eastAsia="Arial" w:hAnsi="Arial" w:cs="Arial"/>
          <w:sz w:val="24"/>
          <w:lang w:val="es-CR"/>
        </w:rPr>
        <w:t>)</w:t>
      </w:r>
    </w:p>
    <w:p w14:paraId="793DE491" w14:textId="390858C9" w:rsidR="00821522" w:rsidRPr="004F34AD" w:rsidRDefault="00A114B3" w:rsidP="009A79CE">
      <w:pPr>
        <w:spacing w:after="200" w:line="360" w:lineRule="auto"/>
        <w:ind w:left="720"/>
        <w:jc w:val="both"/>
        <w:rPr>
          <w:rFonts w:ascii="Arial" w:eastAsia="Arial" w:hAnsi="Arial" w:cs="Arial"/>
          <w:sz w:val="24"/>
          <w:lang w:val="es-CR"/>
        </w:rPr>
      </w:pPr>
      <w:r w:rsidRPr="004F34AD">
        <w:rPr>
          <w:rFonts w:ascii="Arial" w:eastAsia="Arial" w:hAnsi="Arial" w:cs="Arial"/>
          <w:sz w:val="24"/>
          <w:lang w:val="es-CR"/>
        </w:rPr>
        <w:t>[...] el Estado dedica cerca de un 22 por ciento de su gasto total (casi 4 por ciento del PIB) en aportes o pago de pensiones, a lo que habría que sumar</w:t>
      </w:r>
      <w:r w:rsidRPr="004F34AD">
        <w:rPr>
          <w:rFonts w:ascii="Arial" w:eastAsia="Arial" w:hAnsi="Arial" w:cs="Arial"/>
          <w:sz w:val="24"/>
          <w:lang w:val="es-CR"/>
        </w:rPr>
        <w:t xml:space="preserve">le las contribuciones al Fondo del Poder Judicial y al Régimen de Capitalización Colectiva del Magisterio Nacional. Sin embargo, este gasto ha sido inefectivo para controlar la pobreza en vejez, la cual sigue sien do alarmantemente alta en Costa Rica. (p. </w:t>
      </w:r>
      <w:r w:rsidRPr="004F34AD">
        <w:rPr>
          <w:rFonts w:ascii="Arial" w:eastAsia="Arial" w:hAnsi="Arial" w:cs="Arial"/>
          <w:sz w:val="24"/>
          <w:lang w:val="es-CR"/>
        </w:rPr>
        <w:t>11)</w:t>
      </w:r>
    </w:p>
    <w:p w14:paraId="56769236" w14:textId="77777777" w:rsidR="00821522" w:rsidRPr="004F34AD" w:rsidRDefault="00A114B3">
      <w:pPr>
        <w:spacing w:after="200" w:line="360" w:lineRule="auto"/>
        <w:jc w:val="both"/>
        <w:rPr>
          <w:rFonts w:ascii="Arial" w:eastAsia="Arial" w:hAnsi="Arial" w:cs="Arial"/>
          <w:b/>
          <w:sz w:val="24"/>
          <w:lang w:val="es-CR"/>
        </w:rPr>
      </w:pPr>
      <w:r w:rsidRPr="004F34AD">
        <w:rPr>
          <w:rFonts w:ascii="Arial" w:eastAsia="Arial" w:hAnsi="Arial" w:cs="Arial"/>
          <w:b/>
          <w:sz w:val="24"/>
          <w:lang w:val="es-CR"/>
        </w:rPr>
        <w:lastRenderedPageBreak/>
        <w:t>2. Envejecimiento demográfico:</w:t>
      </w:r>
    </w:p>
    <w:p w14:paraId="73B472DE" w14:textId="4505D5EE" w:rsidR="009A79CE" w:rsidRDefault="009A79CE">
      <w:pPr>
        <w:spacing w:after="200" w:line="360" w:lineRule="auto"/>
        <w:ind w:left="284"/>
        <w:jc w:val="both"/>
        <w:rPr>
          <w:rFonts w:ascii="Arial" w:eastAsia="Arial" w:hAnsi="Arial" w:cs="Arial"/>
          <w:sz w:val="24"/>
          <w:lang w:val="es-CR"/>
        </w:rPr>
      </w:pPr>
      <w:r>
        <w:rPr>
          <w:rFonts w:ascii="Arial" w:eastAsia="Arial" w:hAnsi="Arial" w:cs="Arial"/>
          <w:sz w:val="24"/>
          <w:lang w:val="es-CR"/>
        </w:rPr>
        <w:t xml:space="preserve">En clase se estudió la problemática de los últimos tiempos en </w:t>
      </w:r>
      <w:r w:rsidR="00A114B3" w:rsidRPr="004F34AD">
        <w:rPr>
          <w:rFonts w:ascii="Arial" w:eastAsia="Arial" w:hAnsi="Arial" w:cs="Arial"/>
          <w:sz w:val="24"/>
          <w:lang w:val="es-CR"/>
        </w:rPr>
        <w:t>Costa Rica</w:t>
      </w:r>
      <w:r>
        <w:rPr>
          <w:rFonts w:ascii="Arial" w:eastAsia="Arial" w:hAnsi="Arial" w:cs="Arial"/>
          <w:sz w:val="24"/>
          <w:lang w:val="es-CR"/>
        </w:rPr>
        <w:t xml:space="preserve">, específicamente </w:t>
      </w:r>
      <w:r w:rsidR="00A114B3" w:rsidRPr="004F34AD">
        <w:rPr>
          <w:rFonts w:ascii="Arial" w:eastAsia="Arial" w:hAnsi="Arial" w:cs="Arial"/>
          <w:sz w:val="24"/>
          <w:lang w:val="es-CR"/>
        </w:rPr>
        <w:t xml:space="preserve">con el aumento de la tasa de </w:t>
      </w:r>
      <w:r w:rsidR="00FF5966">
        <w:rPr>
          <w:rFonts w:ascii="Arial" w:eastAsia="Arial" w:hAnsi="Arial" w:cs="Arial"/>
          <w:sz w:val="24"/>
          <w:lang w:val="es-CR"/>
        </w:rPr>
        <w:t>natalidad y la disminución de la tasa de mortalidad;</w:t>
      </w:r>
      <w:r w:rsidR="00A114B3" w:rsidRPr="004F34AD">
        <w:rPr>
          <w:rFonts w:ascii="Arial" w:eastAsia="Arial" w:hAnsi="Arial" w:cs="Arial"/>
          <w:sz w:val="24"/>
          <w:lang w:val="es-CR"/>
        </w:rPr>
        <w:t xml:space="preserve"> está sucediendo un proceso muy acelerado de envejecimiento en la població</w:t>
      </w:r>
      <w:r w:rsidR="00FF5966">
        <w:rPr>
          <w:rFonts w:ascii="Arial" w:eastAsia="Arial" w:hAnsi="Arial" w:cs="Arial"/>
          <w:sz w:val="24"/>
          <w:lang w:val="es-CR"/>
        </w:rPr>
        <w:t>n</w:t>
      </w:r>
      <w:r w:rsidR="00A114B3" w:rsidRPr="004F34AD">
        <w:rPr>
          <w:rFonts w:ascii="Arial" w:eastAsia="Arial" w:hAnsi="Arial" w:cs="Arial"/>
          <w:sz w:val="24"/>
          <w:lang w:val="es-CR"/>
        </w:rPr>
        <w:t>.</w:t>
      </w:r>
      <w:r w:rsidR="00A114B3" w:rsidRPr="004F34AD">
        <w:rPr>
          <w:rFonts w:ascii="Arial" w:eastAsia="Arial" w:hAnsi="Arial" w:cs="Arial"/>
          <w:sz w:val="24"/>
          <w:lang w:val="es-CR"/>
        </w:rPr>
        <w:t xml:space="preserve"> Esto está produciendo que </w:t>
      </w:r>
      <w:r w:rsidR="00FF5966" w:rsidRPr="004F34AD">
        <w:rPr>
          <w:rFonts w:ascii="Arial" w:eastAsia="Arial" w:hAnsi="Arial" w:cs="Arial"/>
          <w:sz w:val="24"/>
          <w:lang w:val="es-CR"/>
        </w:rPr>
        <w:t xml:space="preserve">la población </w:t>
      </w:r>
      <w:r w:rsidR="00FF5966">
        <w:rPr>
          <w:rFonts w:ascii="Arial" w:eastAsia="Arial" w:hAnsi="Arial" w:cs="Arial"/>
          <w:sz w:val="24"/>
          <w:lang w:val="es-CR"/>
        </w:rPr>
        <w:t>de adultos mayores en el país consuma todo el presupuesto de</w:t>
      </w:r>
      <w:r w:rsidR="00A114B3" w:rsidRPr="004F34AD">
        <w:rPr>
          <w:rFonts w:ascii="Arial" w:eastAsia="Arial" w:hAnsi="Arial" w:cs="Arial"/>
          <w:sz w:val="24"/>
          <w:lang w:val="es-CR"/>
        </w:rPr>
        <w:t xml:space="preserve"> pensi</w:t>
      </w:r>
      <w:r w:rsidR="00FF5966">
        <w:rPr>
          <w:rFonts w:ascii="Arial" w:eastAsia="Arial" w:hAnsi="Arial" w:cs="Arial"/>
          <w:sz w:val="24"/>
          <w:lang w:val="es-CR"/>
        </w:rPr>
        <w:t>ones nacional</w:t>
      </w:r>
      <w:r w:rsidR="00A114B3" w:rsidRPr="004F34AD">
        <w:rPr>
          <w:rFonts w:ascii="Arial" w:eastAsia="Arial" w:hAnsi="Arial" w:cs="Arial"/>
          <w:sz w:val="24"/>
          <w:lang w:val="es-CR"/>
        </w:rPr>
        <w:t xml:space="preserve"> </w:t>
      </w:r>
      <w:r w:rsidR="00FF5966">
        <w:rPr>
          <w:rFonts w:ascii="Arial" w:eastAsia="Arial" w:hAnsi="Arial" w:cs="Arial"/>
          <w:sz w:val="24"/>
          <w:lang w:val="es-CR"/>
        </w:rPr>
        <w:t>y se generan mayores ingresos para compensar este aumento del consumo</w:t>
      </w:r>
      <w:r w:rsidR="00A114B3" w:rsidRPr="004F34AD">
        <w:rPr>
          <w:rFonts w:ascii="Arial" w:eastAsia="Arial" w:hAnsi="Arial" w:cs="Arial"/>
          <w:sz w:val="24"/>
          <w:lang w:val="es-CR"/>
        </w:rPr>
        <w:t>, resulta</w:t>
      </w:r>
      <w:r w:rsidR="00FF5966">
        <w:rPr>
          <w:rFonts w:ascii="Arial" w:eastAsia="Arial" w:hAnsi="Arial" w:cs="Arial"/>
          <w:sz w:val="24"/>
          <w:lang w:val="es-CR"/>
        </w:rPr>
        <w:t>n</w:t>
      </w:r>
      <w:r w:rsidR="00A114B3" w:rsidRPr="004F34AD">
        <w:rPr>
          <w:rFonts w:ascii="Arial" w:eastAsia="Arial" w:hAnsi="Arial" w:cs="Arial"/>
          <w:sz w:val="24"/>
          <w:lang w:val="es-CR"/>
        </w:rPr>
        <w:t xml:space="preserve">do </w:t>
      </w:r>
      <w:r w:rsidR="00FF5966">
        <w:rPr>
          <w:rFonts w:ascii="Arial" w:eastAsia="Arial" w:hAnsi="Arial" w:cs="Arial"/>
          <w:sz w:val="24"/>
          <w:lang w:val="es-CR"/>
        </w:rPr>
        <w:t>en la disminución del presupuesto de pensiones y el</w:t>
      </w:r>
      <w:r w:rsidR="00A114B3" w:rsidRPr="004F34AD">
        <w:rPr>
          <w:rFonts w:ascii="Arial" w:eastAsia="Arial" w:hAnsi="Arial" w:cs="Arial"/>
          <w:sz w:val="24"/>
          <w:lang w:val="es-CR"/>
        </w:rPr>
        <w:t xml:space="preserve"> aumento de la tasa de dependencia. Por un lado, </w:t>
      </w:r>
      <w:r w:rsidR="00FF5966">
        <w:rPr>
          <w:rFonts w:ascii="Arial" w:eastAsia="Arial" w:hAnsi="Arial" w:cs="Arial"/>
          <w:sz w:val="24"/>
          <w:lang w:val="es-CR"/>
        </w:rPr>
        <w:t xml:space="preserve">en la lectura se menciona que Costa Rica </w:t>
      </w:r>
      <w:r w:rsidR="00A114B3" w:rsidRPr="004F34AD">
        <w:rPr>
          <w:rFonts w:ascii="Arial" w:eastAsia="Arial" w:hAnsi="Arial" w:cs="Arial"/>
          <w:sz w:val="24"/>
          <w:lang w:val="es-CR"/>
        </w:rPr>
        <w:t xml:space="preserve">posee uno de los procesos de envejecimiento más acelerados de América Latina, como </w:t>
      </w:r>
      <w:r w:rsidR="00A114B3" w:rsidRPr="004F34AD">
        <w:rPr>
          <w:rFonts w:ascii="Arial" w:eastAsia="Arial" w:hAnsi="Arial" w:cs="Arial"/>
          <w:sz w:val="24"/>
          <w:lang w:val="es-CR"/>
        </w:rPr>
        <w:t xml:space="preserve">resultado de una caída abrupta en la tasa de </w:t>
      </w:r>
      <w:r w:rsidR="00FF5966">
        <w:rPr>
          <w:rFonts w:ascii="Arial" w:eastAsia="Arial" w:hAnsi="Arial" w:cs="Arial"/>
          <w:sz w:val="24"/>
          <w:lang w:val="es-CR"/>
        </w:rPr>
        <w:t>mortalidad</w:t>
      </w:r>
      <w:r w:rsidR="00A114B3" w:rsidRPr="004F34AD">
        <w:rPr>
          <w:rFonts w:ascii="Arial" w:eastAsia="Arial" w:hAnsi="Arial" w:cs="Arial"/>
          <w:sz w:val="24"/>
          <w:lang w:val="es-CR"/>
        </w:rPr>
        <w:t xml:space="preserve"> y un aumento en la expectativa de vida de la población</w:t>
      </w:r>
      <w:r w:rsidR="00FF5966">
        <w:rPr>
          <w:rFonts w:ascii="Arial" w:eastAsia="Arial" w:hAnsi="Arial" w:cs="Arial"/>
          <w:sz w:val="24"/>
          <w:lang w:val="es-CR"/>
        </w:rPr>
        <w:t>, como se mencionó anteriormente.</w:t>
      </w:r>
    </w:p>
    <w:p w14:paraId="747C1A83" w14:textId="77777777" w:rsidR="009A79CE" w:rsidRDefault="00A114B3" w:rsidP="009A79CE">
      <w:pPr>
        <w:spacing w:after="200" w:line="360" w:lineRule="auto"/>
        <w:ind w:left="720"/>
        <w:jc w:val="both"/>
        <w:rPr>
          <w:rFonts w:ascii="Arial" w:eastAsia="Arial" w:hAnsi="Arial" w:cs="Arial"/>
          <w:sz w:val="24"/>
          <w:lang w:val="es-CR"/>
        </w:rPr>
      </w:pPr>
      <w:r w:rsidRPr="004F34AD">
        <w:rPr>
          <w:rFonts w:ascii="Arial" w:eastAsia="Arial" w:hAnsi="Arial" w:cs="Arial"/>
          <w:sz w:val="24"/>
          <w:lang w:val="es-CR"/>
        </w:rPr>
        <w:t>[...] este proceso de envejecimiento ocurre en medio de sistemas de pensiones públicos generosos, deficitarios y desfinanciados, con un a</w:t>
      </w:r>
      <w:r w:rsidRPr="004F34AD">
        <w:rPr>
          <w:rFonts w:ascii="Arial" w:eastAsia="Arial" w:hAnsi="Arial" w:cs="Arial"/>
          <w:sz w:val="24"/>
          <w:lang w:val="es-CR"/>
        </w:rPr>
        <w:t>lto impacto sobre las finanzas públicas. (p. 10)</w:t>
      </w:r>
    </w:p>
    <w:p w14:paraId="1DD409B2" w14:textId="58121570" w:rsidR="00821522" w:rsidRPr="004F34AD" w:rsidRDefault="00A114B3" w:rsidP="009A79CE">
      <w:pPr>
        <w:spacing w:after="200" w:line="360" w:lineRule="auto"/>
        <w:ind w:left="720"/>
        <w:jc w:val="both"/>
        <w:rPr>
          <w:rFonts w:ascii="Arial" w:eastAsia="Arial" w:hAnsi="Arial" w:cs="Arial"/>
          <w:sz w:val="24"/>
          <w:lang w:val="es-CR"/>
        </w:rPr>
      </w:pPr>
      <w:r w:rsidRPr="004F34AD">
        <w:rPr>
          <w:rFonts w:ascii="Arial" w:eastAsia="Arial" w:hAnsi="Arial" w:cs="Arial"/>
          <w:sz w:val="24"/>
          <w:lang w:val="es-CR"/>
        </w:rPr>
        <w:t>Costa Rica es el país que menos tiempo le tomará duplicar el porcentaje de adultos mayores de 65 años, pues en un lapso de 22 años verá pasar ese porcentaje de un 10 al 20 por ciento de su población. (p. 10)</w:t>
      </w:r>
    </w:p>
    <w:p w14:paraId="6A84B09A" w14:textId="77777777" w:rsidR="00821522" w:rsidRPr="004F34AD" w:rsidRDefault="00821522">
      <w:pPr>
        <w:spacing w:after="200" w:line="360" w:lineRule="auto"/>
        <w:ind w:left="284"/>
        <w:jc w:val="both"/>
        <w:rPr>
          <w:rFonts w:ascii="Arial" w:eastAsia="Arial" w:hAnsi="Arial" w:cs="Arial"/>
          <w:sz w:val="24"/>
          <w:lang w:val="es-CR"/>
        </w:rPr>
      </w:pPr>
    </w:p>
    <w:p w14:paraId="3CA2C666" w14:textId="01719AE1" w:rsidR="004F34AD" w:rsidRPr="004F34AD" w:rsidRDefault="004F34AD" w:rsidP="004F34AD">
      <w:pPr>
        <w:spacing w:after="200" w:line="360" w:lineRule="auto"/>
        <w:ind w:left="284" w:hanging="284"/>
        <w:jc w:val="both"/>
        <w:rPr>
          <w:rFonts w:ascii="Arial" w:eastAsia="Arial" w:hAnsi="Arial" w:cs="Arial"/>
          <w:b/>
          <w:sz w:val="24"/>
          <w:lang w:val="es-CR"/>
        </w:rPr>
      </w:pPr>
      <w:r w:rsidRPr="004F34AD">
        <w:rPr>
          <w:rFonts w:ascii="Arial" w:eastAsia="Arial" w:hAnsi="Arial" w:cs="Arial"/>
          <w:b/>
          <w:sz w:val="24"/>
          <w:lang w:val="es-CR"/>
        </w:rPr>
        <w:t>3.</w:t>
      </w:r>
      <w:r>
        <w:rPr>
          <w:rFonts w:ascii="Arial" w:eastAsia="Arial" w:hAnsi="Arial" w:cs="Arial"/>
          <w:b/>
          <w:sz w:val="24"/>
          <w:lang w:val="es-CR"/>
        </w:rPr>
        <w:t xml:space="preserve"> </w:t>
      </w:r>
      <w:r w:rsidR="00A114B3" w:rsidRPr="004F34AD">
        <w:rPr>
          <w:rFonts w:ascii="Arial" w:eastAsia="Arial" w:hAnsi="Arial" w:cs="Arial"/>
          <w:b/>
          <w:sz w:val="24"/>
          <w:lang w:val="es-CR"/>
        </w:rPr>
        <w:t>Longevidad:</w:t>
      </w:r>
    </w:p>
    <w:p w14:paraId="072CB0A9" w14:textId="77777777" w:rsidR="00A114B3" w:rsidRPr="00A114B3" w:rsidRDefault="00A114B3" w:rsidP="00A114B3">
      <w:pPr>
        <w:spacing w:after="200" w:line="360" w:lineRule="auto"/>
        <w:ind w:left="284"/>
        <w:jc w:val="both"/>
        <w:rPr>
          <w:rFonts w:ascii="Arial" w:eastAsia="Arial" w:hAnsi="Arial" w:cs="Arial"/>
          <w:sz w:val="24"/>
          <w:lang w:val="es-CR"/>
        </w:rPr>
      </w:pPr>
      <w:r w:rsidRPr="00A114B3">
        <w:rPr>
          <w:rFonts w:ascii="Arial" w:eastAsia="Arial" w:hAnsi="Arial" w:cs="Arial"/>
          <w:sz w:val="24"/>
          <w:lang w:val="es-CR"/>
        </w:rPr>
        <w:t xml:space="preserve">En el país se encuentran las condiciones adecuadas para lograr unos índices de longevidad bastante buenos y bastante altos. Tanto así, que a nivel mundial una de las zonas del país es considerada como una de las zonas azules. Esto se logra no solamente por la cercanía a ciertos factores regionales, sino también culturales, que ayudan no solo a lograr esta calidad de vida, sino también a los servicios médicos que tiene la mayor cantidad de las personas y las facilidades para encontrar alimentos de muy buena calidad. Además, todos los programas y actividades que puede hacer cada persona, siempre y cuando esta persona logre y sea de su interés </w:t>
      </w:r>
      <w:r w:rsidRPr="00A114B3">
        <w:rPr>
          <w:rFonts w:ascii="Arial" w:eastAsia="Arial" w:hAnsi="Arial" w:cs="Arial"/>
          <w:sz w:val="24"/>
          <w:lang w:val="es-CR"/>
        </w:rPr>
        <w:lastRenderedPageBreak/>
        <w:t>cuidar de su salud, crean a largo plazo diferentes situaciones en el régimen de pensiones. Por ejemplo, la sostenibilidad a largo plazo, ya que el régimen de pensiones única y exclusivamente se ha basado en un sistema en donde la parte joven de la población y económicamente activa soporta por simples aportes todo lo que genera como gasto, o pagos, las personas que ya están pensionadas. Lo cual ni siquiera los expertos han logrado descifrar cuál es la mejor forma de hacer que el régimen sea sostenible.</w:t>
      </w:r>
    </w:p>
    <w:p w14:paraId="37D71369" w14:textId="588200D6" w:rsidR="00821522" w:rsidRPr="004F34AD" w:rsidRDefault="00A114B3" w:rsidP="00A114B3">
      <w:pPr>
        <w:spacing w:after="200" w:line="360" w:lineRule="auto"/>
        <w:ind w:left="720"/>
        <w:jc w:val="both"/>
        <w:rPr>
          <w:rFonts w:ascii="Arial" w:eastAsia="Arial" w:hAnsi="Arial" w:cs="Arial"/>
          <w:sz w:val="24"/>
          <w:lang w:val="es-CR"/>
        </w:rPr>
      </w:pPr>
      <w:r w:rsidRPr="00A114B3">
        <w:rPr>
          <w:rFonts w:ascii="Arial" w:eastAsia="Arial" w:hAnsi="Arial" w:cs="Arial"/>
          <w:sz w:val="24"/>
          <w:lang w:val="es-CR"/>
        </w:rPr>
        <w:t xml:space="preserve">[...] un varón de 65 años de edad que se pensiona con un saldo del ROP de ¢10 millones, inicia con una mensualidad de casi ¢59.000 y para cuando llegue a su esperanza de vida al momento de pensionarse, que es de 84 años, el monto de la mensualidad se habría reducido a ¢39.000. (p. 51) </w:t>
      </w:r>
      <w:r w:rsidRPr="004F34AD">
        <w:rPr>
          <w:rFonts w:ascii="Arial" w:eastAsia="Arial" w:hAnsi="Arial" w:cs="Arial"/>
          <w:sz w:val="24"/>
          <w:lang w:val="es-CR"/>
        </w:rPr>
        <w:t>[</w:t>
      </w:r>
      <w:r w:rsidRPr="004F34AD">
        <w:rPr>
          <w:rFonts w:ascii="Arial" w:eastAsia="Arial" w:hAnsi="Arial" w:cs="Arial"/>
          <w:sz w:val="24"/>
          <w:lang w:val="es-CR"/>
        </w:rPr>
        <w:t xml:space="preserve">...] un varón de 65 años de edad que se pensiona con un saldo del ROP de ¢10 millones, inicia con una </w:t>
      </w:r>
      <w:r w:rsidRPr="004F34AD">
        <w:rPr>
          <w:rFonts w:ascii="Arial" w:eastAsia="Arial" w:hAnsi="Arial" w:cs="Arial"/>
          <w:sz w:val="24"/>
          <w:lang w:val="es-CR"/>
        </w:rPr>
        <w:t xml:space="preserve">mensualidad de casi ¢59.000 y para cuando llegue a su esperanza de vida al momento de pensionarse, que es de 84 años, el monto de la mensualidad se habría reducido a ¢39.000. (p. 51) </w:t>
      </w:r>
    </w:p>
    <w:p w14:paraId="3CAB9359" w14:textId="10529DC8" w:rsidR="00821522" w:rsidRDefault="00A114B3">
      <w:pPr>
        <w:spacing w:after="200" w:line="360" w:lineRule="auto"/>
        <w:jc w:val="both"/>
        <w:rPr>
          <w:rFonts w:ascii="Arial" w:eastAsia="Arial" w:hAnsi="Arial" w:cs="Arial"/>
          <w:sz w:val="24"/>
          <w:lang w:val="es-CR"/>
        </w:rPr>
      </w:pPr>
      <w:r>
        <w:rPr>
          <w:rFonts w:ascii="Arial" w:eastAsia="Arial" w:hAnsi="Arial" w:cs="Arial"/>
          <w:sz w:val="24"/>
          <w:lang w:val="es-CR"/>
        </w:rPr>
        <w:t>Noticia:</w:t>
      </w:r>
    </w:p>
    <w:p w14:paraId="4C7BBA00" w14:textId="3FAC8515" w:rsidR="00A114B3" w:rsidRPr="004F34AD" w:rsidRDefault="00A114B3">
      <w:pPr>
        <w:spacing w:after="200" w:line="360" w:lineRule="auto"/>
        <w:jc w:val="both"/>
        <w:rPr>
          <w:rFonts w:ascii="Arial" w:eastAsia="Arial" w:hAnsi="Arial" w:cs="Arial"/>
          <w:sz w:val="24"/>
          <w:lang w:val="es-CR"/>
        </w:rPr>
      </w:pPr>
      <w:hyperlink r:id="rId5" w:history="1">
        <w:r w:rsidRPr="00FA1A01">
          <w:rPr>
            <w:rStyle w:val="Hyperlink"/>
            <w:rFonts w:ascii="Arial" w:eastAsia="Arial" w:hAnsi="Arial" w:cs="Arial"/>
            <w:sz w:val="24"/>
            <w:lang w:val="es-CR"/>
          </w:rPr>
          <w:t>https://www.nacion.com/economia/politica-economica/fmi-recomienda-ampliar-cobertura-del-ivm-en-lugar/KLFMQPD4VRAJXEGJDGNL4YNBA4/story/</w:t>
        </w:r>
      </w:hyperlink>
      <w:r>
        <w:rPr>
          <w:rFonts w:ascii="Arial" w:eastAsia="Arial" w:hAnsi="Arial" w:cs="Arial"/>
          <w:sz w:val="24"/>
          <w:lang w:val="es-CR"/>
        </w:rPr>
        <w:t xml:space="preserve"> </w:t>
      </w:r>
    </w:p>
    <w:sectPr w:rsidR="00A114B3" w:rsidRPr="004F3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13A"/>
    <w:multiLevelType w:val="multilevel"/>
    <w:tmpl w:val="92F6821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21522"/>
    <w:rsid w:val="004F34AD"/>
    <w:rsid w:val="00821522"/>
    <w:rsid w:val="008D0348"/>
    <w:rsid w:val="009A79CE"/>
    <w:rsid w:val="00A114B3"/>
    <w:rsid w:val="00FF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87F6"/>
  <w15:docId w15:val="{1B3583D4-EA5B-4F4D-B8D7-E406C7A2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4AD"/>
    <w:pPr>
      <w:ind w:left="720"/>
      <w:contextualSpacing/>
    </w:pPr>
  </w:style>
  <w:style w:type="character" w:styleId="Hyperlink">
    <w:name w:val="Hyperlink"/>
    <w:basedOn w:val="DefaultParagraphFont"/>
    <w:uiPriority w:val="99"/>
    <w:unhideWhenUsed/>
    <w:rsid w:val="00A114B3"/>
    <w:rPr>
      <w:color w:val="0563C1" w:themeColor="hyperlink"/>
      <w:u w:val="single"/>
    </w:rPr>
  </w:style>
  <w:style w:type="character" w:styleId="UnresolvedMention">
    <w:name w:val="Unresolved Mention"/>
    <w:basedOn w:val="DefaultParagraphFont"/>
    <w:uiPriority w:val="99"/>
    <w:semiHidden/>
    <w:unhideWhenUsed/>
    <w:rsid w:val="00A114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cion.com/economia/politica-economica/fmi-recomienda-ampliar-cobertura-del-ivm-en-lugar/KLFMQPD4VRAJXEGJDGNL4YNBA4/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Wilte Foxccoon</cp:lastModifiedBy>
  <cp:revision>3</cp:revision>
  <dcterms:created xsi:type="dcterms:W3CDTF">2024-06-02T18:58:00Z</dcterms:created>
  <dcterms:modified xsi:type="dcterms:W3CDTF">2024-06-03T05:31:00Z</dcterms:modified>
</cp:coreProperties>
</file>