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Desglose EV exacto: confirmar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02 de septiembre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26/08/2026 – cierre 02/09/2026.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2 — Corte 2 · Tipología, gestión y validación de la propuesta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Clasificar y gestionar la innovación (Manual de Oslo/OCDE), tipificar la propuesta y </w:t>
      </w:r>
      <w:r>
        <w:rPr>
          <w:rFonts w:ascii="Calibri" w:hAnsi="Calibri"/>
          <w:b/>
          <w:color w:val="2B2B2B"/>
          <w:sz w:val="22"/>
        </w:rPr>
        <w:t>validarla</w:t>
      </w:r>
      <w:r>
        <w:rPr>
          <w:rFonts w:ascii="Calibri" w:hAnsi="Calibri"/>
          <w:b w:val="0"/>
          <w:color w:val="2B2B2B"/>
          <w:sz w:val="22"/>
        </w:rPr>
        <w:t xml:space="preserve"> con herramientas de análisis de negocios (Syllabus U4–U6).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Actualiza tu propuesta con tipo(s) de innovación (producto, proceso, organización, marketing, social).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cuadro comparativo</w:t>
      </w:r>
      <w:r>
        <w:rPr>
          <w:rFonts w:ascii="Calibri" w:hAnsi="Calibri"/>
          <w:b w:val="0"/>
          <w:color w:val="2B2B2B"/>
          <w:sz w:val="22"/>
        </w:rPr>
        <w:t xml:space="preserve"> de tipos y justifica el tuyo.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Aplica al menos: </w:t>
      </w:r>
      <w:r>
        <w:rPr>
          <w:rFonts w:ascii="Calibri" w:hAnsi="Calibri"/>
          <w:b/>
          <w:color w:val="2B2B2B"/>
          <w:sz w:val="22"/>
        </w:rPr>
        <w:t>FODA</w:t>
      </w:r>
      <w:r>
        <w:rPr>
          <w:rFonts w:ascii="Calibri" w:hAnsi="Calibri"/>
          <w:b w:val="0"/>
          <w:color w:val="2B2B2B"/>
          <w:sz w:val="22"/>
        </w:rPr>
        <w:t xml:space="preserve"> + </w:t>
      </w:r>
      <w:r>
        <w:rPr>
          <w:rFonts w:ascii="Calibri" w:hAnsi="Calibri"/>
          <w:b/>
          <w:color w:val="2B2B2B"/>
          <w:sz w:val="22"/>
        </w:rPr>
        <w:t>Canvas (BMC)</w:t>
      </w:r>
      <w:r>
        <w:rPr>
          <w:rFonts w:ascii="Calibri" w:hAnsi="Calibri"/>
          <w:b w:val="0"/>
          <w:color w:val="2B2B2B"/>
          <w:sz w:val="22"/>
        </w:rPr>
        <w:t xml:space="preserve"> + definición de </w:t>
      </w:r>
      <w:r>
        <w:rPr>
          <w:rFonts w:ascii="Calibri" w:hAnsi="Calibri"/>
          <w:b/>
          <w:color w:val="2B2B2B"/>
          <w:sz w:val="22"/>
        </w:rPr>
        <w:t>MVP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Prepara una </w:t>
      </w:r>
      <w:r>
        <w:rPr>
          <w:rFonts w:ascii="Calibri" w:hAnsi="Calibri"/>
          <w:b/>
          <w:color w:val="2B2B2B"/>
          <w:sz w:val="22"/>
        </w:rPr>
        <w:t>sustentación breve</w:t>
      </w:r>
      <w:r>
        <w:rPr>
          <w:rFonts w:ascii="Calibri" w:hAnsi="Calibri"/>
          <w:b w:val="0"/>
          <w:color w:val="2B2B2B"/>
          <w:sz w:val="22"/>
        </w:rPr>
        <w:t xml:space="preserve"> (oral o video corto / slides 1 página) de la validación.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el paquete del corte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Documento/slides: propuesta actualizada + FODA + Canvas + MVP (orientativo 6–10 páginas o equivalente visual + 1 pág. pitch).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Herramientas sugeridas: Canvanizer / Excalidraw / Google Docs o Slides.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CRE_ACA2_Apellido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bien justificado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FODA y Canvas coherentes con el problema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MVP claro y verificable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Sustentación comprensible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Mejora respecto al Corte 1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Canvanizer (BMC)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Slides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04–06</w:t>
      </w:r>
      <w:r>
        <w:rPr>
          <w:rFonts w:ascii="Calibri" w:hAnsi="Calibri"/>
          <w:b w:val="0"/>
          <w:color w:val="2B2B2B"/>
          <w:sz w:val="22"/>
        </w:rPr>
        <w:t xml:space="preserve"> (Oslo · tipos · análisis de negocios / validación).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