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Mecanismos: problema, protocolo, seguimiento y presentación oral/escrita. Producto: avance de artículo de nuevo conocimiento. Desglose EV exacto: confirmar en CDigital (tabla SIAC incompleta/EV genérico).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27 de agosto de 2026</w:t>
      </w:r>
      <w:r>
        <w:rPr>
          <w:rFonts w:ascii="Calibri" w:hAnsi="Calibri"/>
          <w:b w:val="0"/>
          <w:color w:val="2B2B2B"/>
          <w:sz w:val="22"/>
        </w:rPr>
        <w:t xml:space="preserve"> (jue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21/08/2026 – cierre 27/08/2026.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2 — Corte 2 · Pregunta y planteamiento del problema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30%</w:t>
      </w:r>
      <w:r>
        <w:rPr>
          <w:rFonts w:ascii="Calibri" w:hAnsi="Calibri"/>
          <w:b w:val="0"/>
          <w:color w:val="2B2B2B"/>
          <w:sz w:val="22"/>
        </w:rPr>
        <w:t xml:space="preserve">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Identificar el problema, formular la pregunta y redactar el </w:t>
      </w:r>
      <w:r>
        <w:rPr>
          <w:rFonts w:ascii="Calibri" w:hAnsi="Calibri"/>
          <w:b/>
          <w:color w:val="2B2B2B"/>
          <w:sz w:val="22"/>
        </w:rPr>
        <w:t>planteamiento del problema</w:t>
      </w:r>
      <w:r>
        <w:rPr>
          <w:rFonts w:ascii="Calibri" w:hAnsi="Calibri"/>
          <w:b w:val="0"/>
          <w:color w:val="2B2B2B"/>
          <w:sz w:val="22"/>
        </w:rPr>
        <w:t xml:space="preserve"> completo (Syllabus U6–U7), avanzando el artículo.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Usa herramientas vistas (espina de pescado, árbol de problemas o método 3D) para analizar causas.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Formula la </w:t>
      </w:r>
      <w:r>
        <w:rPr>
          <w:rFonts w:ascii="Calibri" w:hAnsi="Calibri"/>
          <w:b/>
          <w:color w:val="2B2B2B"/>
          <w:sz w:val="22"/>
        </w:rPr>
        <w:t>pregunta de investigación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Redacta el planteamiento: estado actual, evidencias, causas, posibles vías de solución.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Actualiza el documento del artículo (introducción + problema + pregunta).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Incorpora retroalimentación del Corte 1.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Avance actualizado del artículo/protocolo (plantilla APA CUN).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6–10 páginas</w:t>
      </w:r>
      <w:r>
        <w:rPr>
          <w:rFonts w:ascii="Calibri" w:hAnsi="Calibri"/>
          <w:b w:val="0"/>
          <w:color w:val="2B2B2B"/>
          <w:sz w:val="22"/>
        </w:rPr>
        <w:t xml:space="preserve"> acumuladas.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Archivo: </w:t>
      </w:r>
      <w:r>
        <w:rPr>
          <w:rFonts w:ascii="Consolas" w:hAnsi="Consolas"/>
          <w:color w:val="111111"/>
          <w:sz w:val="21"/>
        </w:rPr>
        <w:t>INV_ACA2_Apellido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/ checklist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Problema argumentado con evidencias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Pregunta clara y viable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Planteamiento estructurado (U7)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Mejoras respecto al 1.er avance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Citas APA / integridad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Tras </w:t>
      </w:r>
      <w:r>
        <w:rPr>
          <w:rFonts w:ascii="Calibri" w:hAnsi="Calibri"/>
          <w:b/>
          <w:color w:val="2B2B2B"/>
          <w:sz w:val="22"/>
        </w:rPr>
        <w:t>Sesiones 05–06</w:t>
      </w:r>
      <w:r>
        <w:rPr>
          <w:rFonts w:ascii="Calibri" w:hAnsi="Calibri"/>
          <w:b w:val="0"/>
          <w:color w:val="2B2B2B"/>
          <w:sz w:val="22"/>
        </w:rPr>
        <w:t xml:space="preserve"> (identificación de problemas/pregunta · formulación del planteamiento).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cálculo regenerable (</w:t>
      </w:r>
      <w:r>
        <w:rPr>
          <w:rFonts w:ascii="Consolas" w:hAnsi="Consolas"/>
          <w:i/>
          <w:color w:val="111111"/>
          <w:sz w:val="20"/>
        </w:rPr>
        <w:t>config/cursos/fechas_entrega_aca.py</w:t>
      </w:r>
      <w:r>
        <w:rPr>
          <w:rFonts w:ascii="Calibri" w:hAnsi="Calibri"/>
          <w:b w:val="0"/>
          <w:i/>
          <w:color w:val="2B2B2B"/>
          <w:sz w:val="21"/>
        </w:rPr>
        <w:t>) · Periodo [inicio–recepción] repartido por pesos del componente; entrega = día de clase semanal en o antes del fin de tramo (ultimo item &lt;= recepcion). P1: coev/autoev tras ACA 3 hasta cierre. Fuente: config/cursos/fechas_entrega_aca.py + carga_academica_2026.json.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