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01 · 26ET2-G-001 — Sistema de Información Agropecuario Integral con módulo pecuario y chatbots (Finca El Paraíso, Anzoátegui, Tolima)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6:00 – 6:20 p. m. (abre la jornada)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Diomedes Igua Hernández: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Adolfo Escobar Buelvas: 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Jorge Carlos Polo Muñoz: 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Abre la noche: si el demo de la diapositiva 12 se cae por la plataforma y no por el proyecto, </w:t>
      </w:r>
      <w:r>
        <w:rPr>
          <w:rFonts w:ascii="Calibri" w:hAnsi="Calibri"/>
          <w:b/>
          <w:i/>
          <w:color w:val="2B2B2B"/>
          <w:sz w:val="21"/>
        </w:rPr>
        <w:t>no se lo cargo a ellos</w:t>
      </w:r>
      <w:r>
        <w:rPr>
          <w:rFonts w:ascii="Calibri" w:hAnsi="Calibri"/>
          <w:b w:val="0"/>
          <w:i/>
          <w:color w:val="2B2B2B"/>
          <w:sz w:val="21"/>
        </w:rPr>
        <w:t xml:space="preserve"> — paso a la pregunta 3 y evalúo el producto por la evidencia documental (pp. 192-194, 218).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marcar, no redactar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Bloque (min esperados)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✓ ~ ✗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Una línea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Problema y pregunta (2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Objetivos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Método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Resultados (3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Discusión y conclusión (2-3 min)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/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Aporte y cierre (1 min)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</w:p>
        </w:tc>
      </w:tr>
    </w:tbl>
    <w:p/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demo de la diapositiva 12 no ocurre o falla → «¿el sistema está en línea ahora?» y la P3 pasa a prioritaria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demo sí corre → pedir una consulta improvisada al chatbot, con otras palabras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presentan las reducciones de 63-95 % como impacto del proyecto sin matizar → P1, directa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dicen «inteligencia artificial» o «IA» sin nombrar tecnología → P2 + «¿corre en su infraestructura o llama a un servicio externo?»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solo habla uno de los tres → pedir nominalmente a otro la arquitectura del chatbot (pp. 183-184)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anuncian WhatsApp como si estuviera hecho → la p. 22 lo declara trabajo futuro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afirman que el sistema «reduce costos» de la finca → pedir la cifra (no hay costeo en 273 páginas)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La línea base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«¿Los tiempos del procedimiento manual que reportan en la Tabla 26 se midieron antes de implementar el sistema, o los mismos seis operarios reprodujeron el método manual en la misma jornada de pruebas, cuando ya conocían TuFinca?»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Qué es exactamente el motor conversacional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documento nombra la tecnología de todas las capas —Blazor Server, ASP.NET Core, Entity Framework, SQL Server— menos la del motor conversacional, del que solo dice qué hace: ¿con qué se implementó concretamente la interpretación de intenciones y la extracción de entidades?»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Quién sostiene el producto entregado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sistema quedó desplegado en Azure y ustedes le recomiendan a la finca dejar los registros en papel en una fecha definida: ¿quién paga y administra ese hosting a partir de hoy, y el sistema sigue en línea?»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 ______________________________________________________________________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trazabilidad para auditoría (p. 210 vs. p. 232) · denominadores de la Tabla 30 (p. 213) · conectividad durante las mediciones (p. 46) · escalar a una segunda finca (p. 43)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Dominio:</w:t>
      </w:r>
      <w:r>
        <w:rPr>
          <w:rFonts w:ascii="Calibri" w:hAnsi="Calibri"/>
          <w:b w:val="0"/>
          <w:color w:val="2B2B2B"/>
          <w:sz w:val="22"/>
        </w:rPr>
        <w:t xml:space="preserve"> que nombren y expliquen el motor conversacional sin evasivas y sepan el límite de validez de sus cifras del OE4.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Claridad:</w:t>
      </w:r>
      <w:r>
        <w:rPr>
          <w:rFonts w:ascii="Calibri" w:hAnsi="Calibri"/>
          <w:b w:val="0"/>
          <w:color w:val="2B2B2B"/>
          <w:sz w:val="22"/>
        </w:rPr>
        <w:t xml:space="preserve"> que en 12 min quepan problema, método, muestra de seis, resultado y límite, y que el demo se entienda sin leer la pantalla.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Coherencia:</w:t>
      </w:r>
      <w:r>
        <w:rPr>
          <w:rFonts w:ascii="Calibri" w:hAnsi="Calibri"/>
          <w:b w:val="0"/>
          <w:color w:val="2B2B2B"/>
          <w:sz w:val="22"/>
        </w:rPr>
        <w:t xml:space="preserve"> ya está en 4,6 (pp. 34-35, 195-213); solo baja si contradicen lo escrito sobre la línea base.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Defensa:</w:t>
      </w:r>
      <w:r>
        <w:rPr>
          <w:rFonts w:ascii="Calibri" w:hAnsi="Calibri"/>
          <w:b w:val="0"/>
          <w:color w:val="2B2B2B"/>
          <w:sz w:val="22"/>
        </w:rPr>
        <w:t xml:space="preserve"> que reconozcan el límite de la línea base y del hosting en vez de defenderlo, y que responda más de uno.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alto por el documento; lo que se juega es si el dominio acompaña. 4,6–4,8 es el escenario más probable.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Rodear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Nota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Dominio del tema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Claridad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Coherencia del documento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Capacidad de defensa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0,1–2,9 · 3,0–3,5 · 3,6–4,5 · 4,6–5,0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____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Un 4,4 en un solo criterio bloquea la meritoria del grupo:</w:t>
      </w:r>
      <w:r>
        <w:rPr>
          <w:rFonts w:ascii="Calibri" w:hAnsi="Calibri"/>
          <w:b w:val="0"/>
          <w:color w:val="2B2B2B"/>
          <w:sz w:val="22"/>
        </w:rPr>
        <w:t xml:space="preserve"> si bajo de 4,5,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