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02 · 26ET2-G-002 — Plataforma digital web y móvil con chat inteligente para la promoción turística de Rivera (Huila)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6:20 – 6:40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Ferney Acosta Quimbaya: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Jhon Alexander Osorio Fernández: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Einsenwauer Alvarez Gutiérrez: ______________________________________________________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⚠️ Los números de la ficha son páginas del PDF: el folio impreso va </w:t>
      </w:r>
      <w:r>
        <w:rPr>
          <w:rFonts w:ascii="Calibri" w:hAnsi="Calibri"/>
          <w:b/>
          <w:i/>
          <w:color w:val="2B2B2B"/>
          <w:sz w:val="21"/>
        </w:rPr>
        <w:t>dos por debajo</w:t>
      </w:r>
      <w:r>
        <w:rPr>
          <w:rFonts w:ascii="Calibri" w:hAnsi="Calibri"/>
          <w:b w:val="0"/>
          <w:i/>
          <w:color w:val="2B2B2B"/>
          <w:sz w:val="21"/>
        </w:rPr>
        <w:t>. Al citar en sala, decir el apartado («al cierre del 8.7») o ambos números.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marcar, no redactar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Bloque (min esperados)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✓ ~ ✗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Una línea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Problema y pregunta (2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Objetivos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Método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Resultados (3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Discusión y conclusión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Aporte y cierre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</w:tbl>
    <w:p/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mostraron el chat funcionando y respondió bien → pedir una pregunta fuera de alcance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mostraron el chat o solo lo mencionaron → P1 completa, incluida la fecha de puesta en producción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presentaron todo con capturas y no abrieron la aplicación → pedir la URL pública en vivo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que ya aplicaron la prueba de usabilidad → pedir n, fecha y el valor obtenido de la tabla 23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que la plataforma «ya la usa la Alcaldía» → pedir el acto administrativo o el responsable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solo habló uno de los tres → repartir: uno el modelo de datos, otro el chat, otro el diagnóstico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leyeron las diapositivas palabra por palabra → cuenta contra claridad, no preguntar por ello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Estado real del chat: ¿fase siguiente o en producción?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documento dice, al cerrar el apartado 8.6 —folio 68, página 70 del PDF—, que el módulo de chat se contempla como la siguiente fase de desarrollo, y al cerrar el 8.7 —folio 71, página 73 del PDF— que ya opera sobre el entorno productivo. ¿Cuál de las dos es el estado a hoy? Y si está operando, hágale en vivo una pregunta que esté fuera de alcance, para ver la respuesta que ustedes describen en el folio 69.»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Objetivo 4: ¿instrumento diseñado o aplicado?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objetivo 4 es evaluar el impacto potencial. Ustedes diseñaron el protocolo de usabilidad de las tablas 21 a 23, pero la columna “Valor obtenido” de la tabla 23 está vacía. ¿Consideran el objetivo cumplido con el diseño del instrumento, y qué impidió aplicarlo si el prototipo estaba en producción desde julio?»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Empresarios publicando y flujo de moderación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objetivo general habla de fortalecer los emprendimientos productivos, y la tabla 18 registra las pruebas de los perfiles empresario, editor y administrador como “por anexar la captura”. ¿Cuántos empresarios de Rivera tienen hoy una publicación creada por ellos mismos en la plataforma y qué pasó cuando pasó por el flujo de moderación de la Secretaría?»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arquitectura de la PWA y quién la sostiene · muestra del diagnóstico y su alcance · qué queda de la plataforma cuando cambie la administración municipal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Para 4,6+ hacen falta las dos cosas:</w:t>
      </w:r>
      <w:r>
        <w:rPr>
          <w:rFonts w:ascii="Calibri" w:hAnsi="Calibri"/>
          <w:b w:val="0"/>
          <w:color w:val="2B2B2B"/>
          <w:sz w:val="22"/>
        </w:rPr>
        <w:t xml:space="preserve"> (a) el chat respondiendo en vivo sobre la URL pública, con dato que venga de la base y con «no sé» ante una pregunta fuera de alcance; (b) distinguir con precisión «impacto potencial» de «impacto medido», asumiendo sin defensas que el protocolo no se aplicó. Más que los tres respondan, cada uno de lo suyo.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Sin demostración en vivo del producto que ellos mismos invitan a probar, difícilmente pasa de 4,4.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4,3 – 4,7. Mueve la aguja una sola cosa: que el chat y el perfil de empresario se vean funcionando.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Rodear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Nota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Dominio del tema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Claridad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Coherencia del documento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Capacidad de defensa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Un 4,4 en un solo criterio bloquea la meritoria del grupo:</w:t>
      </w:r>
      <w:r>
        <w:rPr>
          <w:rFonts w:ascii="Calibri" w:hAnsi="Calibri"/>
          <w:b w:val="0"/>
          <w:color w:val="2B2B2B"/>
          <w:sz w:val="22"/>
        </w:rPr>
        <w:t xml:space="preserve"> si bajo de 4,5,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