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05 · 26ET2-G-005 — Comparación de modelos estadísticos y de Machine Learning para la predicción de fallas con SCADA, OMS y GIS en CENS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7:20 – 7:40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Edward Alexis Orduz Rodríguez: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Ángel David Ortiz Rivera: 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en toda la exposición no dijeron «sintético» ni «simulado» → P1, directa y primera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sí lo declararon con claridad → soltar la mitad de P1 y pasar a P2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el tablero funcionando → pedir la lectura del activo ACT-012907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mostraron el tablero pero afirmaron que existe → P3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pasaron de tiempo y saltaron el modelamiento → pedir en una frase el mejor modelo y su AUC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que el clima mejora la predicción → pedir la evidencia en su propia tabla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«validado con CENS» o «con usuarios técnicos» → pedir nombre del área y fecha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habló solo uno de los dos → repartir: uno los datos, otro el modelamiento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La naturaleza del dato y su ausencia en las diapositivas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documento dice con claridad que no hubo acceso a los sistemas productivos de CENS y que todo el análisis se hizo sobre un conjunto sintético —lo dicen en la página 14 y lo repiten en la 112—, pero en las diapositivas 7 y 10 la población aparece como 87.500 eventos históricos y 600.000 usuarios de CENS sin ese matiz: cuéntenme cómo generaron ese conjunto y qué de lo que concluyen sigue en pie sabiendo que los patrones que el modelo aprendió los pusieron ustedes al generar los datos.»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Sus propios criterios de éxito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«Ustedes fijaron como resultados esperados un AUC superior a 0,75 y un recall mínimo del 70 % —página 28—, y lo que obtuvieron fue un AUC de 0,616 con XGBoost y un recall máximo de 0,297 con Random Forest: ¿por qué esa comparación no aparece en las conclusiones y qué lectura técnica hacen de esa distancia?»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La existencia del producto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la página 71 y en la diapositiva 13 hablan de un prototipo funcional en Streamlit que integra el modelo y SHAP, pero entre las dieciséis figuras del documento no hay ni una captura del tablero: ¿está corriendo hoy, y pueden describirme qué se ve en pantalla cuando se consulta el activo ACT-012907?»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desbalance de clases y su tratamiento · umbral de decisión elegido y por qué · particiones y fuga de información en el panel activo-semana · el 18 % que no cuadra (p. 49)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hacen falta las cuatro:</w:t>
      </w:r>
      <w:r>
        <w:rPr>
          <w:rFonts w:ascii="Calibri" w:hAnsi="Calibri"/>
          <w:b w:val="0"/>
          <w:color w:val="2B2B2B"/>
          <w:sz w:val="22"/>
        </w:rPr>
        <w:t xml:space="preserve"> (1) que enuncien lo sintético sin que se les pregunte y expliquen cómo se generó; (2) que reconozcan que sus metas de AUC y recall no se alcanzaron y sostengan la lectura correcta de un AUC de 0,616 (priorización, no predicción determinística); (3) que muestren el tablero o den evidencia equivalente; (4) que ambos demuestren dominio y respondan bien una de reserva.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Meritoria:</w:t>
      </w:r>
      <w:r>
        <w:rPr>
          <w:rFonts w:ascii="Calibri" w:hAnsi="Calibri"/>
          <w:b w:val="0"/>
          <w:color w:val="2B2B2B"/>
          <w:sz w:val="22"/>
        </w:rPr>
        <w:t xml:space="preserve"> no la propondría con AUC 0,616, la hipótesis 1 sin contrastar y el 18 % de la p. 49 sin conciliar, salvo defensa sobresaliente en los cuatro puntos. Si pongo 4,4, la página es la 28 contra la 97.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es el escenario más probable a la luz de los dos documentos.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