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06 · 26ET2-G-006 — Sistema web inteligente de licitaciones para la Agroindustrial de Palma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martes 18 de agosto de 2026 · 7:40 – 8:00 p. m.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Edwin Vivas Soto: 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Ingrid Johanna Romero Lázaro: 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Jimmy Leandro Calderón Rubio: 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marcar, no redactar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Bloque (min esperados)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✓ ~ ✗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Una línea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Problema y pregunta (2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Objetivos (1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Método (2-3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Resultados (3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Discusión y conclusión (2-3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Aporte y cierre (1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</w:tbl>
    <w:p/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(§6 de la ficha) — marcar oyendo; cada marca elige la pregunta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mostraron el sistema en vivo y explicaron el ranking sobre una licitación real → pedir la concordancia ranking-adjudicación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solo mostraron capturas o un video → pedir que expliquen el motor de ponderación por dentro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presentaron la reducción del ciclo como «proyectada» (diap. 5) y no llevaron la Tabla 55 → P3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no mostraron ningún KPI en las diapositivas 11 y 12 → pedir los resultados en una frase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afirmaron «100 % de éxito en UAT» sin matizar → pedir alcance y quién firmó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dijeron que la madurez digital subió 53 % → P1, directa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dijeron que el sistema «elimina la subjetividad» de la adjudicación → P2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solo habló un integrante → repartir: uno el motor, otro el ADKAR, otro los datos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Con qué instrumento midieron la madurez digital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«Su cuarto objetivo pide medición comparativa de madurez digital, y en la página 76 declaran un instrumento de cinco dimensiones —automatización, integración, analítica, seguridad y gobernanza— en escala de 1 a 5, antes y después. Lo que reportan en la página 235 es la matriz ADKAR de adopción. ¿Con qué instrumento, cuándo y a quiénes midieron el 35 % de línea base?»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Concordancia entre el ranking y la adjudicación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«El valor del proyecto está en el motor multicriterio que genera el ranking, y ustedes conservaron la decisión final en la Dirección Administrativa. En las 10 licitaciones ya ejecutadas, ¿en cuántas se adjudicó al proveedor sugerido por el sistema, y qué pasó en las que no?»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Las 32 horas contadas dos veces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«La página 100 dice que consolidación y evaluación, juntas, tomaban unas 32 horas. La Tabla 55 de la página 233 abre dos indicadores y le asigna 32 horas a cada uno, los dos con una reducción del 98,4 %. ¿Son dos bloques distintos de tiempo o es el mismo bloque contado dos veces?»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tiempo):</w:t>
      </w:r>
      <w:r>
        <w:rPr>
          <w:rFonts w:ascii="Calibri" w:hAnsi="Calibri"/>
          <w:b w:val="0"/>
          <w:color w:val="2B2B2B"/>
          <w:sz w:val="22"/>
        </w:rPr>
        <w:t xml:space="preserve"> pruebas de seguridad y acta de aceptación · integración con ERP: ¿hecha o proyectada? · cómo se ponderan los criterios y quién los fija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Para 4,6+ hacen falta las dos cosas:</w:t>
      </w:r>
      <w:r>
        <w:rPr>
          <w:rFonts w:ascii="Calibri" w:hAnsi="Calibri"/>
          <w:b w:val="0"/>
          <w:color w:val="2B2B2B"/>
          <w:sz w:val="22"/>
        </w:rPr>
        <w:t xml:space="preserve"> (a) que el sistema se vea o se explique operando sobre una licitación real, con la cifra de concordancia entre proveedor sugerido y adjudicado; (b) que asuman que lo medido es adopción ADKAR y no las cinco dimensiones de la p. 76, con origen claro del 35 %. Más las 32 horas explicadas y que los tres respondan.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Sin la concordancia ranking-adjudicación y sin el origen del 35 %, difícilmente pasa de 4,4.</w:t>
      </w:r>
    </w:p>
    <w:p>
      <w:r>
        <w:rPr>
          <w:rFonts w:ascii="Calibri" w:hAnsi="Calibri"/>
          <w:b/>
          <w:color w:val="2B2B2B"/>
          <w:sz w:val="22"/>
        </w:rPr>
        <w:t>Partida antes de oír (§7 de la ficha):</w:t>
      </w:r>
      <w:r>
        <w:rPr>
          <w:rFonts w:ascii="Calibri" w:hAnsi="Calibri"/>
          <w:b w:val="0"/>
          <w:color w:val="2B2B2B"/>
          <w:sz w:val="22"/>
        </w:rPr>
        <w:t xml:space="preserve"> 4,2 – 4,6. El producto no está en duda; la medición del impacto sí.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Rodear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Nota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Dominio del tema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Claridad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Coherencia del documento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Capacidad de defensa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Un 4,4 en un solo criterio bloquea la meritoria del grupo:</w:t>
      </w:r>
      <w:r>
        <w:rPr>
          <w:rFonts w:ascii="Calibri" w:hAnsi="Calibri"/>
          <w:b w:val="0"/>
          <w:color w:val="2B2B2B"/>
          <w:sz w:val="22"/>
        </w:rPr>
        <w:t xml:space="preserve"> si bajo de 4,5,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