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13 · 26ET2-G-013 — Estrategia de optimización e implementación de tecnologías digitales en la Tesorería de las cooperativas financieras de Bogotá</w:t>
      </w:r>
    </w:p>
    <w:p>
      <w:r>
        <w:rPr>
          <w:rFonts w:ascii="Calibri" w:hAnsi="Calibri"/>
          <w:b/>
          <w:color w:val="2B2B2B"/>
          <w:sz w:val="22"/>
        </w:rPr>
        <w:t>HOJA DE RESPUESTAS — se llena A MANO en sala.</w:t>
      </w:r>
      <w:r>
        <w:rPr>
          <w:rFonts w:ascii="Calibri" w:hAnsi="Calibri"/>
          <w:b w:val="0"/>
          <w:color w:val="2B2B2B"/>
          <w:sz w:val="22"/>
        </w:rPr>
        <w:t xml:space="preserve"> miércoles 19 de agosto de 2026 · 7:00 – 7:20 p. m. (cierra las dos jornadas)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Eliana Vianeth Gaitán Garzón — trabajo individual: ______________________________________________________</w:t>
      </w:r>
    </w:p>
    <w:p>
      <w:pPr>
        <w:ind w:left="432"/>
        <w:shd w:val="clear" w:fill="E8F5EC"/>
      </w:pPr>
      <w:r>
        <w:rPr>
          <w:rFonts w:ascii="Calibri" w:hAnsi="Calibri"/>
          <w:b w:val="0"/>
          <w:i/>
          <w:color w:val="2B2B2B"/>
          <w:sz w:val="21"/>
        </w:rPr>
        <w:t>⚠️ Trabajo individual y su directora es la moderadora de la sala. Cierra las dos jornadas: si el bloque va retrasado, el tiempo que falte no es su culpa. Si la directora ya preguntó por la muestra o por el prototipo, no repetir.</w:t>
      </w:r>
    </w:p>
    <w:p>
      <w:pPr>
        <w:spacing w:before="200" w:after="60"/>
      </w:pPr>
      <w:r>
        <w:rPr>
          <w:rFonts w:ascii="Calibri" w:hAnsi="Calibri"/>
          <w:b/>
          <w:color w:val="007433"/>
          <w:sz w:val="32"/>
        </w:rPr>
        <w:t>A · MIENTRAS EXPONEN — marcar, no redactar</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Bloque (min esperados)</w:t>
            </w:r>
          </w:p>
        </w:tc>
        <w:tc>
          <w:tcPr>
            <w:tcW w:type="dxa" w:w="3264"/>
            <w:shd w:val="clear" w:fill="0C2340"/>
            <w:shd w:val="clear" w:fill="0C2340"/>
          </w:tcPr>
          <w:p>
            <w:r>
              <w:rPr>
                <w:rFonts w:ascii="Calibri" w:hAnsi="Calibri"/>
                <w:b/>
                <w:color w:val="FFFFFF"/>
              </w:rPr>
            </w:r>
            <w:r>
              <w:rPr>
                <w:rFonts w:ascii="Calibri" w:hAnsi="Calibri"/>
                <w:b/>
                <w:color w:val="FFFFFF"/>
                <w:sz w:val="21"/>
              </w:rPr>
              <w:t>✓ ~ ✗</w:t>
            </w:r>
          </w:p>
        </w:tc>
        <w:tc>
          <w:tcPr>
            <w:tcW w:type="dxa" w:w="3264"/>
            <w:shd w:val="clear" w:fill="0C2340"/>
            <w:shd w:val="clear" w:fill="0C2340"/>
          </w:tcPr>
          <w:p>
            <w:r>
              <w:rPr>
                <w:rFonts w:ascii="Calibri" w:hAnsi="Calibri"/>
                <w:b/>
                <w:color w:val="FFFFFF"/>
              </w:rPr>
            </w:r>
            <w:r>
              <w:rPr>
                <w:rFonts w:ascii="Calibri" w:hAnsi="Calibri"/>
                <w:b/>
                <w:color w:val="FFFFFF"/>
                <w:sz w:val="21"/>
              </w:rPr>
              <w:t>Una línea</w:t>
            </w:r>
          </w:p>
        </w:tc>
      </w:tr>
      <w:tr>
        <w:tc>
          <w:tcPr>
            <w:tcW w:type="dxa" w:w="3264"/>
          </w:tcPr>
          <w:p>
            <w:r/>
            <w:r>
              <w:rPr>
                <w:rFonts w:ascii="Calibri" w:hAnsi="Calibri"/>
                <w:b w:val="0"/>
                <w:color w:val="2B2B2B"/>
                <w:sz w:val="20"/>
              </w:rPr>
              <w:t>Problema y pregunta (2 min)</w:t>
            </w:r>
          </w:p>
        </w:tc>
        <w:tc>
          <w:tcPr>
            <w:tcW w:type="dxa" w:w="3264"/>
          </w:tcPr>
          <w:p>
            <w:r/>
          </w:p>
        </w:tc>
        <w:tc>
          <w:tcPr>
            <w:tcW w:type="dxa" w:w="3264"/>
          </w:tcPr>
          <w:p>
            <w:r/>
          </w:p>
        </w:tc>
      </w:tr>
      <w:tr>
        <w:tc>
          <w:tcPr>
            <w:tcW w:type="dxa" w:w="3264"/>
            <w:shd w:val="clear" w:fill="F5F7F5"/>
            <w:shd w:val="clear" w:fill="F5F7F5"/>
          </w:tcPr>
          <w:p>
            <w:r/>
            <w:r>
              <w:rPr>
                <w:rFonts w:ascii="Calibri" w:hAnsi="Calibri"/>
                <w:b w:val="0"/>
                <w:color w:val="2B2B2B"/>
                <w:sz w:val="20"/>
              </w:rPr>
              <w:t>Objetivos (1 min)</w:t>
            </w:r>
          </w:p>
        </w:tc>
        <w:tc>
          <w:tcPr>
            <w:tcW w:type="dxa" w:w="3264"/>
            <w:shd w:val="clear" w:fill="F5F7F5"/>
            <w:shd w:val="clear" w:fill="F5F7F5"/>
          </w:tcPr>
          <w:p>
            <w:r/>
          </w:p>
        </w:tc>
        <w:tc>
          <w:tcPr>
            <w:tcW w:type="dxa" w:w="3264"/>
            <w:shd w:val="clear" w:fill="F5F7F5"/>
            <w:shd w:val="clear" w:fill="F5F7F5"/>
          </w:tcPr>
          <w:p>
            <w:r/>
          </w:p>
        </w:tc>
      </w:tr>
      <w:tr>
        <w:tc>
          <w:tcPr>
            <w:tcW w:type="dxa" w:w="3264"/>
          </w:tcPr>
          <w:p>
            <w:r/>
            <w:r>
              <w:rPr>
                <w:rFonts w:ascii="Calibri" w:hAnsi="Calibri"/>
                <w:b w:val="0"/>
                <w:color w:val="2B2B2B"/>
                <w:sz w:val="20"/>
              </w:rPr>
              <w:t>Método (2-3 min)</w:t>
            </w:r>
          </w:p>
        </w:tc>
        <w:tc>
          <w:tcPr>
            <w:tcW w:type="dxa" w:w="3264"/>
          </w:tcPr>
          <w:p>
            <w:r/>
          </w:p>
        </w:tc>
        <w:tc>
          <w:tcPr>
            <w:tcW w:type="dxa" w:w="3264"/>
          </w:tcPr>
          <w:p>
            <w:r/>
          </w:p>
        </w:tc>
      </w:tr>
      <w:tr>
        <w:tc>
          <w:tcPr>
            <w:tcW w:type="dxa" w:w="3264"/>
            <w:shd w:val="clear" w:fill="F5F7F5"/>
            <w:shd w:val="clear" w:fill="F5F7F5"/>
          </w:tcPr>
          <w:p>
            <w:r/>
            <w:r>
              <w:rPr>
                <w:rFonts w:ascii="Calibri" w:hAnsi="Calibri"/>
                <w:b w:val="0"/>
                <w:color w:val="2B2B2B"/>
                <w:sz w:val="20"/>
              </w:rPr>
              <w:t>Resultados (3 min)</w:t>
            </w:r>
          </w:p>
        </w:tc>
        <w:tc>
          <w:tcPr>
            <w:tcW w:type="dxa" w:w="3264"/>
            <w:shd w:val="clear" w:fill="F5F7F5"/>
            <w:shd w:val="clear" w:fill="F5F7F5"/>
          </w:tcPr>
          <w:p>
            <w:r/>
          </w:p>
        </w:tc>
        <w:tc>
          <w:tcPr>
            <w:tcW w:type="dxa" w:w="3264"/>
            <w:shd w:val="clear" w:fill="F5F7F5"/>
            <w:shd w:val="clear" w:fill="F5F7F5"/>
          </w:tcPr>
          <w:p>
            <w:r/>
          </w:p>
        </w:tc>
      </w:tr>
      <w:tr>
        <w:tc>
          <w:tcPr>
            <w:tcW w:type="dxa" w:w="3264"/>
          </w:tcPr>
          <w:p>
            <w:r/>
            <w:r>
              <w:rPr>
                <w:rFonts w:ascii="Calibri" w:hAnsi="Calibri"/>
                <w:b w:val="0"/>
                <w:color w:val="2B2B2B"/>
                <w:sz w:val="20"/>
              </w:rPr>
              <w:t>Discusión y conclusión (2-3 min)</w:t>
            </w:r>
          </w:p>
        </w:tc>
        <w:tc>
          <w:tcPr>
            <w:tcW w:type="dxa" w:w="3264"/>
          </w:tcPr>
          <w:p>
            <w:r/>
          </w:p>
        </w:tc>
        <w:tc>
          <w:tcPr>
            <w:tcW w:type="dxa" w:w="3264"/>
          </w:tcPr>
          <w:p>
            <w:r/>
          </w:p>
        </w:tc>
      </w:tr>
      <w:tr>
        <w:tc>
          <w:tcPr>
            <w:tcW w:type="dxa" w:w="3264"/>
            <w:shd w:val="clear" w:fill="F5F7F5"/>
            <w:shd w:val="clear" w:fill="F5F7F5"/>
          </w:tcPr>
          <w:p>
            <w:r/>
            <w:r>
              <w:rPr>
                <w:rFonts w:ascii="Calibri" w:hAnsi="Calibri"/>
                <w:b w:val="0"/>
                <w:color w:val="2B2B2B"/>
                <w:sz w:val="20"/>
              </w:rPr>
              <w:t>Aporte y cierre (1 min)</w:t>
            </w:r>
          </w:p>
        </w:tc>
        <w:tc>
          <w:tcPr>
            <w:tcW w:type="dxa" w:w="3264"/>
            <w:shd w:val="clear" w:fill="F5F7F5"/>
            <w:shd w:val="clear" w:fill="F5F7F5"/>
          </w:tcPr>
          <w:p>
            <w:r/>
          </w:p>
        </w:tc>
        <w:tc>
          <w:tcPr>
            <w:tcW w:type="dxa" w:w="3264"/>
            <w:shd w:val="clear" w:fill="F5F7F5"/>
            <w:shd w:val="clear" w:fill="F5F7F5"/>
          </w:tcPr>
          <w:p>
            <w:r/>
          </w:p>
        </w:tc>
      </w:tr>
    </w:tbl>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pPr>
        <w:spacing w:before="200" w:after="60"/>
      </w:pPr>
      <w:r>
        <w:rPr>
          <w:rFonts w:ascii="Calibri" w:hAnsi="Calibri"/>
          <w:b/>
          <w:color w:val="007433"/>
          <w:sz w:val="32"/>
        </w:rPr>
        <w:t>B · CONDICIONALES (§6 de la ficha) — marcar oyendo; cada marca elige la pregunta</w:t>
      </w:r>
    </w:p>
    <w:p>
      <w:pPr>
        <w:pStyle w:val="ListBullet"/>
      </w:pPr>
      <w:r>
        <w:rPr>
          <w:rFonts w:ascii="Calibri" w:hAnsi="Calibri"/>
          <w:b w:val="0"/>
          <w:color w:val="2B2B2B"/>
          <w:sz w:val="22"/>
        </w:rPr>
        <w:t>[ ] Si expone la diapositiva 16 «Resultados esperados» como si fueran resultados obtenidos → P1, directa</w:t>
      </w:r>
    </w:p>
    <w:p>
      <w:pPr>
        <w:pStyle w:val="ListBullet"/>
      </w:pPr>
      <w:r>
        <w:rPr>
          <w:rFonts w:ascii="Calibri" w:hAnsi="Calibri"/>
          <w:b w:val="0"/>
          <w:color w:val="2B2B2B"/>
          <w:sz w:val="22"/>
        </w:rPr>
        <w:t>[ ] Si no muestra el sistema funcionando → P1: sin prototipo demostrable no hay 4,6</w:t>
      </w:r>
    </w:p>
    <w:p>
      <w:pPr>
        <w:pStyle w:val="ListBullet"/>
      </w:pPr>
      <w:r>
        <w:rPr>
          <w:rFonts w:ascii="Calibri" w:hAnsi="Calibri"/>
          <w:b w:val="0"/>
          <w:color w:val="2B2B2B"/>
          <w:sz w:val="22"/>
        </w:rPr>
        <w:t>[ ] Si muestra el sistema funcionando → pedir volumen de registros y archivo de datos simulados</w:t>
      </w:r>
    </w:p>
    <w:p>
      <w:pPr>
        <w:pStyle w:val="ListBullet"/>
      </w:pPr>
      <w:r>
        <w:rPr>
          <w:rFonts w:ascii="Calibri" w:hAnsi="Calibri"/>
          <w:b w:val="0"/>
          <w:color w:val="2B2B2B"/>
          <w:sz w:val="22"/>
        </w:rPr>
        <w:t>[ ] Si afirma que aplicó entrevistas a directivos y a TI → P2 (la metodología las anuncia; los resultados no)</w:t>
      </w:r>
    </w:p>
    <w:p>
      <w:pPr>
        <w:pStyle w:val="ListBullet"/>
      </w:pPr>
      <w:r>
        <w:rPr>
          <w:rFonts w:ascii="Calibri" w:hAnsi="Calibri"/>
          <w:b w:val="0"/>
          <w:color w:val="2B2B2B"/>
          <w:sz w:val="22"/>
        </w:rPr>
        <w:t>[ ] Si dice n = 10 en la exposición → P2: a qué áreas y qué pasó con las entrevistas</w:t>
      </w:r>
    </w:p>
    <w:p>
      <w:pPr>
        <w:pStyle w:val="ListBullet"/>
      </w:pPr>
      <w:r>
        <w:rPr>
          <w:rFonts w:ascii="Calibri" w:hAnsi="Calibri"/>
          <w:b w:val="0"/>
          <w:color w:val="2B2B2B"/>
          <w:sz w:val="22"/>
        </w:rPr>
        <w:t>[ ] Si presenta el 94,2 % como logro del proyecto → pedir el denominador y el informe de pruebas (p. 42)</w:t>
      </w:r>
    </w:p>
    <w:p>
      <w:pPr>
        <w:pStyle w:val="ListBullet"/>
      </w:pPr>
      <w:r>
        <w:rPr>
          <w:rFonts w:ascii="Calibri" w:hAnsi="Calibri"/>
          <w:b w:val="0"/>
          <w:color w:val="2B2B2B"/>
          <w:sz w:val="22"/>
        </w:rPr>
        <w:t>[ ] Si declara que el MACM ya está en operación en la cooperativa → pedir fecha, área y evidencia</w:t>
      </w:r>
    </w:p>
    <w:p>
      <w:pPr>
        <w:pStyle w:val="ListBullet"/>
      </w:pPr>
      <w:r>
        <w:rPr>
          <w:rFonts w:ascii="Calibri" w:hAnsi="Calibri"/>
          <w:b w:val="0"/>
          <w:color w:val="2B2B2B"/>
          <w:sz w:val="22"/>
        </w:rPr>
        <w:t>[ ] Si el discurso queda en generalidades sobre transformación digital → P3, la de transferibilidad</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Sobre qué datos se calculó el 94,2 %</w:t>
      </w:r>
    </w:p>
    <w:p>
      <w:pPr>
        <w:ind w:left="432"/>
        <w:shd w:val="clear" w:fill="E8F5EC"/>
      </w:pPr>
      <w:r>
        <w:rPr>
          <w:rFonts w:ascii="Calibri" w:hAnsi="Calibri"/>
          <w:b w:val="0"/>
          <w:i/>
          <w:color w:val="2B2B2B"/>
          <w:sz w:val="21"/>
        </w:rPr>
        <w:t>«Su tercer objetivo específico, en la página 16, es desarrollar un prototipo funcional del MACM en un entorno de simulación y validarlo con pruebas funcionales e indicadores. El panel de la página 62 reporta 94,2 % de conciliación autónoma y 12 casos por auditar: ¿sobre cuántos registros y sobre qué archivo de datos simulados se calculó ese 94,2 %, y dónde está el informe de pruebas que usted anuncia como entregable en la página 42?»</w:t>
      </w:r>
    </w:p>
    <w:p>
      <w:r>
        <w:rPr>
          <w:rFonts w:ascii="Consolas" w:hAnsi="Consolas"/>
          <w:color w:val="111111"/>
          <w:sz w:val="21"/>
        </w:rPr>
        <w:t>Contestó:  [ ] Sí   [ ] A medias   [ ] La esquivó</w:t>
      </w:r>
    </w:p>
    <w:p>
      <w:r>
        <w:rPr>
          <w:rFonts w:ascii="Consolas" w:hAnsi="Consolas"/>
          <w:color w:val="111111"/>
          <w:sz w:val="21"/>
        </w:rPr>
        <w:t>Frase textual: ______________________________________________________________________</w:t>
      </w:r>
    </w:p>
    <w:p>
      <w:r>
        <w:rPr>
          <w:rFonts w:ascii="Consolas" w:hAnsi="Consolas"/>
          <w:color w:val="111111"/>
          <w:sz w:val="21"/>
        </w:rPr>
        <w:t>Verificar después: p. ____</w:t>
      </w:r>
    </w:p>
    <w:p>
      <w:r>
        <w:rPr>
          <w:rFonts w:ascii="Calibri" w:hAnsi="Calibri"/>
          <w:b/>
          <w:color w:val="2B2B2B"/>
          <w:sz w:val="22"/>
        </w:rPr>
        <w:t>Pregunta 2 — Cuántas encuestas y qué pasó con las entrevistas</w:t>
      </w:r>
    </w:p>
    <w:p>
      <w:pPr>
        <w:ind w:left="432"/>
        <w:shd w:val="clear" w:fill="E8F5EC"/>
      </w:pPr>
      <w:r>
        <w:rPr>
          <w:rFonts w:ascii="Calibri" w:hAnsi="Calibri"/>
          <w:b w:val="0"/>
          <w:i/>
          <w:color w:val="2B2B2B"/>
          <w:sz w:val="21"/>
        </w:rPr>
        <w:t>«La metodología, en la página 33, anuncia seis participantes: dos directivos, tres funcionarios de tesorería y un responsable de TI, con entrevistas semiestructuradas; los resultados de la página 45 reportan una encuesta con n igual a 10, seis auxiliares y cuatro analistas; y el anexo trae tres encuestas diligenciadas de Control Operativo, Contabilidad y Cartera. ¿Cuántas encuestas se aplicaron finalmente, a qué áreas, y qué pasó con las entrevistas a directivos y a TI?»</w:t>
      </w:r>
    </w:p>
    <w:p>
      <w:r>
        <w:rPr>
          <w:rFonts w:ascii="Consolas" w:hAnsi="Consolas"/>
          <w:color w:val="111111"/>
          <w:sz w:val="21"/>
        </w:rPr>
        <w:t>Contestó:  [ ] Sí   [ ] A medias   [ ] La esquivó</w:t>
      </w:r>
    </w:p>
    <w:p>
      <w:r>
        <w:rPr>
          <w:rFonts w:ascii="Consolas" w:hAnsi="Consolas"/>
          <w:color w:val="111111"/>
          <w:sz w:val="21"/>
        </w:rPr>
        <w:t>Frase textual: ______________________________________________________________________</w:t>
      </w:r>
    </w:p>
    <w:p>
      <w:r>
        <w:rPr>
          <w:rFonts w:ascii="Consolas" w:hAnsi="Consolas"/>
          <w:color w:val="111111"/>
          <w:sz w:val="21"/>
        </w:rPr>
        <w:t>Verificar después: p. ____</w:t>
      </w:r>
    </w:p>
    <w:p>
      <w:r>
        <w:rPr>
          <w:rFonts w:ascii="Calibri" w:hAnsi="Calibri"/>
          <w:b/>
          <w:color w:val="2B2B2B"/>
          <w:sz w:val="22"/>
        </w:rPr>
        <w:t>Pregunta 3 — De una cooperativa a «las cooperativas de Bogotá»</w:t>
      </w:r>
    </w:p>
    <w:p>
      <w:pPr>
        <w:ind w:left="432"/>
        <w:shd w:val="clear" w:fill="E8F5EC"/>
      </w:pPr>
      <w:r>
        <w:rPr>
          <w:rFonts w:ascii="Calibri" w:hAnsi="Calibri"/>
          <w:b w:val="0"/>
          <w:i/>
          <w:color w:val="2B2B2B"/>
          <w:sz w:val="21"/>
        </w:rPr>
        <w:t>«El título y el objetivo general hablan de las cooperativas financieras de la ciudad de Bogotá, pero el diseño es un estudio de caso único en una sola cooperativa, con diez encuestas de un área. ¿Qué parte de su estrategia es transferible a otra cooperativa de Bogotá y qué parte solo funciona en la entidad que estudió?»</w:t>
      </w:r>
    </w:p>
    <w:p>
      <w:r>
        <w:rPr>
          <w:rFonts w:ascii="Consolas" w:hAnsi="Consolas"/>
          <w:color w:val="111111"/>
          <w:sz w:val="21"/>
        </w:rPr>
        <w:t>Contestó:  [ ] Sí   [ ] A medias   [ ] La esquivó</w:t>
      </w:r>
    </w:p>
    <w:p>
      <w:r>
        <w:rPr>
          <w:rFonts w:ascii="Consolas" w:hAnsi="Consolas"/>
          <w:color w:val="111111"/>
          <w:sz w:val="21"/>
        </w:rPr>
        <w:t>Frase textual: ______________________________________________________________________</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el flujo de conciliación con sus campos y sus reglas, sin leer la diapositiva · alcance frente a procedimiento (p. 19 vs. pp. 41-43) · el Core sin API: qué implica para la estrategia</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Dominio:</w:t>
      </w:r>
      <w:r>
        <w:rPr>
          <w:rFonts w:ascii="Calibri" w:hAnsi="Calibri"/>
          <w:b w:val="0"/>
          <w:color w:val="2B2B2B"/>
          <w:sz w:val="22"/>
        </w:rPr>
        <w:t xml:space="preserve"> su fortaleza probable. Para 4,6+, que explique el flujo de conciliación con campos y reglas sin leer la diapositiva.</w:t>
      </w:r>
    </w:p>
    <w:p>
      <w:pPr>
        <w:pStyle w:val="ListBullet"/>
      </w:pPr>
      <w:r>
        <w:rPr>
          <w:rFonts w:ascii="Calibri" w:hAnsi="Calibri"/>
          <w:b/>
          <w:color w:val="2B2B2B"/>
          <w:sz w:val="22"/>
        </w:rPr>
        <w:t>Claridad:</w:t>
      </w:r>
      <w:r>
        <w:rPr>
          <w:rFonts w:ascii="Calibri" w:hAnsi="Calibri"/>
          <w:b w:val="0"/>
          <w:color w:val="2B2B2B"/>
          <w:sz w:val="22"/>
        </w:rPr>
        <w:t xml:space="preserve"> si en 12 minutos no aparece su propia evidencia (encuesta y MACM corriendo), se queda en 3,6–4,0 por desbalance entre contexto y resultados.</w:t>
      </w:r>
    </w:p>
    <w:p>
      <w:pPr>
        <w:pStyle w:val="ListBullet"/>
      </w:pPr>
      <w:r>
        <w:rPr>
          <w:rFonts w:ascii="Calibri" w:hAnsi="Calibri"/>
          <w:b/>
          <w:color w:val="2B2B2B"/>
          <w:sz w:val="22"/>
        </w:rPr>
        <w:t>Coherencia:</w:t>
      </w:r>
      <w:r>
        <w:rPr>
          <w:rFonts w:ascii="Calibri" w:hAnsi="Calibri"/>
          <w:b w:val="0"/>
          <w:color w:val="2B2B2B"/>
          <w:sz w:val="22"/>
        </w:rPr>
        <w:t xml:space="preserve"> el criterio más débil, sostenido con página (p. 19 vs. 41-43; p. 33 vs. 45; p. 16 vs. 61-68): por sí solo no pasa de 3,4–3,8.</w:t>
      </w:r>
    </w:p>
    <w:p>
      <w:pPr>
        <w:pStyle w:val="ListBullet"/>
      </w:pPr>
      <w:r>
        <w:rPr>
          <w:rFonts w:ascii="Calibri" w:hAnsi="Calibri"/>
          <w:b/>
          <w:color w:val="2B2B2B"/>
          <w:sz w:val="22"/>
        </w:rPr>
        <w:t>Defensa:</w:t>
      </w:r>
      <w:r>
        <w:rPr>
          <w:rFonts w:ascii="Calibri" w:hAnsi="Calibri"/>
          <w:b w:val="0"/>
          <w:color w:val="2B2B2B"/>
          <w:sz w:val="22"/>
        </w:rPr>
        <w:t xml:space="preserve"> aquí recupera. Con las tres preguntas respondidas y el prototipo demostrado, 4,4–4,6; si esquiva, 3,2–3,5.</w:t>
      </w:r>
    </w:p>
    <w:p>
      <w:pPr>
        <w:pStyle w:val="ListBullet"/>
      </w:pPr>
      <w:r>
        <w:rPr>
          <w:rFonts w:ascii="Calibri" w:hAnsi="Calibri"/>
          <w:b/>
          <w:color w:val="2B2B2B"/>
          <w:sz w:val="22"/>
        </w:rPr>
        <w:t>4,6 o más</w:t>
      </w:r>
      <w:r>
        <w:rPr>
          <w:rFonts w:ascii="Calibri" w:hAnsi="Calibri"/>
          <w:b w:val="0"/>
          <w:color w:val="2B2B2B"/>
          <w:sz w:val="22"/>
        </w:rPr>
        <w:t xml:space="preserve"> exige prototipo procesando datos simulados con volumen declarado </w:t>
      </w:r>
      <w:r>
        <w:rPr>
          <w:rFonts w:ascii="Calibri" w:hAnsi="Calibri"/>
          <w:b/>
          <w:color w:val="2B2B2B"/>
          <w:sz w:val="22"/>
        </w:rPr>
        <w:t>y</w:t>
      </w:r>
      <w:r>
        <w:rPr>
          <w:rFonts w:ascii="Calibri" w:hAnsi="Calibri"/>
          <w:b w:val="0"/>
          <w:color w:val="2B2B2B"/>
          <w:sz w:val="22"/>
        </w:rPr>
        <w:t xml:space="preserve"> distinguir lo aplicado (encuesta) de lo planeado (entrevistas). </w:t>
      </w:r>
      <w:r>
        <w:rPr>
          <w:rFonts w:ascii="Calibri" w:hAnsi="Calibri"/>
          <w:b/>
          <w:color w:val="2B2B2B"/>
          <w:sz w:val="22"/>
        </w:rPr>
        <w:t>Meritoria: no la propondría.</w:t>
      </w:r>
    </w:p>
    <w:p>
      <w:r>
        <w:rPr>
          <w:rFonts w:ascii="Calibri" w:hAnsi="Calibri"/>
          <w:b/>
          <w:color w:val="2B2B2B"/>
          <w:sz w:val="22"/>
        </w:rPr>
        <w:t>Partida antes de oír (§7 de la ficha):</w:t>
      </w:r>
      <w:r>
        <w:rPr>
          <w:rFonts w:ascii="Calibri" w:hAnsi="Calibri"/>
          <w:b w:val="0"/>
          <w:color w:val="2B2B2B"/>
          <w:sz w:val="22"/>
        </w:rPr>
        <w:t xml:space="preserve"> 3,6 – 4,0 (expectativa a priori de la §7).</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C2340"/>
            <w:shd w:val="clear" w:fill="0C2340"/>
          </w:tcPr>
          <w:p>
            <w:r>
              <w:rPr>
                <w:rFonts w:ascii="Calibri" w:hAnsi="Calibri"/>
                <w:b/>
                <w:color w:val="FFFFFF"/>
              </w:rPr>
            </w:r>
            <w:r>
              <w:rPr>
                <w:rFonts w:ascii="Calibri" w:hAnsi="Calibri"/>
                <w:b/>
                <w:color w:val="FFFFFF"/>
                <w:sz w:val="21"/>
              </w:rPr>
              <w:t>Criterio</w:t>
            </w:r>
          </w:p>
        </w:tc>
        <w:tc>
          <w:tcPr>
            <w:tcW w:type="dxa" w:w="3264"/>
            <w:shd w:val="clear" w:fill="0C2340"/>
            <w:shd w:val="clear" w:fill="0C2340"/>
          </w:tcPr>
          <w:p>
            <w:r>
              <w:rPr>
                <w:rFonts w:ascii="Calibri" w:hAnsi="Calibri"/>
                <w:b/>
                <w:color w:val="FFFFFF"/>
              </w:rPr>
            </w:r>
            <w:r>
              <w:rPr>
                <w:rFonts w:ascii="Calibri" w:hAnsi="Calibri"/>
                <w:b/>
                <w:color w:val="FFFFFF"/>
                <w:sz w:val="21"/>
              </w:rPr>
              <w:t>Rodear</w:t>
            </w:r>
          </w:p>
        </w:tc>
        <w:tc>
          <w:tcPr>
            <w:tcW w:type="dxa" w:w="3264"/>
            <w:shd w:val="clear" w:fill="0C2340"/>
            <w:shd w:val="clear" w:fill="0C2340"/>
          </w:tcPr>
          <w:p>
            <w:r>
              <w:rPr>
                <w:rFonts w:ascii="Calibri" w:hAnsi="Calibri"/>
                <w:b/>
                <w:color w:val="FFFFFF"/>
              </w:rPr>
            </w:r>
            <w:r>
              <w:rPr>
                <w:rFonts w:ascii="Calibri" w:hAnsi="Calibri"/>
                <w:b/>
                <w:color w:val="FFFFFF"/>
                <w:sz w:val="21"/>
              </w:rPr>
              <w:t>Nota</w:t>
            </w:r>
          </w:p>
        </w:tc>
      </w:tr>
      <w:tr>
        <w:tc>
          <w:tcPr>
            <w:tcW w:type="dxa" w:w="3264"/>
          </w:tcPr>
          <w:p>
            <w:r/>
            <w:r>
              <w:rPr>
                <w:rFonts w:ascii="Calibri" w:hAnsi="Calibri"/>
                <w:b w:val="0"/>
                <w:color w:val="2B2B2B"/>
                <w:sz w:val="20"/>
              </w:rPr>
              <w:t>Dominio del tema</w:t>
            </w:r>
          </w:p>
        </w:tc>
        <w:tc>
          <w:tcPr>
            <w:tcW w:type="dxa" w:w="3264"/>
          </w:tcPr>
          <w:p>
            <w:r/>
            <w:r>
              <w:rPr>
                <w:rFonts w:ascii="Calibri" w:hAnsi="Calibri"/>
                <w:b w:val="0"/>
                <w:color w:val="2B2B2B"/>
                <w:sz w:val="20"/>
              </w:rPr>
              <w:t>0,1–2,9 · 3,0–3,5 · 3,6–4,5 · 4,6–5,0</w:t>
            </w:r>
          </w:p>
        </w:tc>
        <w:tc>
          <w:tcPr>
            <w:tcW w:type="dxa" w:w="3264"/>
          </w:tcPr>
          <w:p>
            <w:r/>
            <w:r>
              <w:rPr>
                <w:rFonts w:ascii="Calibri" w:hAnsi="Calibri"/>
                <w:b w:val="0"/>
                <w:color w:val="2B2B2B"/>
                <w:sz w:val="20"/>
              </w:rPr>
              <w:t>____</w:t>
            </w:r>
          </w:p>
        </w:tc>
      </w:tr>
      <w:tr>
        <w:tc>
          <w:tcPr>
            <w:tcW w:type="dxa" w:w="3264"/>
            <w:shd w:val="clear" w:fill="F5F7F5"/>
            <w:shd w:val="clear" w:fill="F5F7F5"/>
          </w:tcPr>
          <w:p>
            <w:r/>
            <w:r>
              <w:rPr>
                <w:rFonts w:ascii="Calibri" w:hAnsi="Calibri"/>
                <w:b w:val="0"/>
                <w:color w:val="2B2B2B"/>
                <w:sz w:val="20"/>
              </w:rPr>
              <w:t>Claridad</w:t>
            </w:r>
          </w:p>
        </w:tc>
        <w:tc>
          <w:tcPr>
            <w:tcW w:type="dxa" w:w="3264"/>
            <w:shd w:val="clear" w:fill="F5F7F5"/>
            <w:shd w:val="clear" w:fill="F5F7F5"/>
          </w:tcPr>
          <w:p>
            <w:r/>
            <w:r>
              <w:rPr>
                <w:rFonts w:ascii="Calibri" w:hAnsi="Calibri"/>
                <w:b w:val="0"/>
                <w:color w:val="2B2B2B"/>
                <w:sz w:val="20"/>
              </w:rPr>
              <w:t>0,1–2,9 · 3,0–3,5 · 3,6–4,5 · 4,6–5,0</w:t>
            </w:r>
          </w:p>
        </w:tc>
        <w:tc>
          <w:tcPr>
            <w:tcW w:type="dxa" w:w="3264"/>
            <w:shd w:val="clear" w:fill="F5F7F5"/>
            <w:shd w:val="clear" w:fill="F5F7F5"/>
          </w:tcPr>
          <w:p>
            <w:r/>
            <w:r>
              <w:rPr>
                <w:rFonts w:ascii="Calibri" w:hAnsi="Calibri"/>
                <w:b w:val="0"/>
                <w:color w:val="2B2B2B"/>
                <w:sz w:val="20"/>
              </w:rPr>
              <w:t>____</w:t>
            </w:r>
          </w:p>
        </w:tc>
      </w:tr>
      <w:tr>
        <w:tc>
          <w:tcPr>
            <w:tcW w:type="dxa" w:w="3264"/>
          </w:tcPr>
          <w:p>
            <w:r/>
            <w:r>
              <w:rPr>
                <w:rFonts w:ascii="Calibri" w:hAnsi="Calibri"/>
                <w:b w:val="0"/>
                <w:color w:val="2B2B2B"/>
                <w:sz w:val="20"/>
              </w:rPr>
              <w:t>Coherencia del documento</w:t>
            </w:r>
          </w:p>
        </w:tc>
        <w:tc>
          <w:tcPr>
            <w:tcW w:type="dxa" w:w="3264"/>
          </w:tcPr>
          <w:p>
            <w:r/>
            <w:r>
              <w:rPr>
                <w:rFonts w:ascii="Calibri" w:hAnsi="Calibri"/>
                <w:b w:val="0"/>
                <w:color w:val="2B2B2B"/>
                <w:sz w:val="20"/>
              </w:rPr>
              <w:t>0,1–2,9 · 3,0–3,5 · 3,6–4,5 · 4,6–5,0</w:t>
            </w:r>
          </w:p>
        </w:tc>
        <w:tc>
          <w:tcPr>
            <w:tcW w:type="dxa" w:w="3264"/>
          </w:tcPr>
          <w:p>
            <w:r/>
            <w:r>
              <w:rPr>
                <w:rFonts w:ascii="Calibri" w:hAnsi="Calibri"/>
                <w:b w:val="0"/>
                <w:color w:val="2B2B2B"/>
                <w:sz w:val="20"/>
              </w:rPr>
              <w:t>____</w:t>
            </w:r>
          </w:p>
        </w:tc>
      </w:tr>
      <w:tr>
        <w:tc>
          <w:tcPr>
            <w:tcW w:type="dxa" w:w="3264"/>
            <w:shd w:val="clear" w:fill="F5F7F5"/>
            <w:shd w:val="clear" w:fill="F5F7F5"/>
          </w:tcPr>
          <w:p>
            <w:r/>
            <w:r>
              <w:rPr>
                <w:rFonts w:ascii="Calibri" w:hAnsi="Calibri"/>
                <w:b w:val="0"/>
                <w:color w:val="2B2B2B"/>
                <w:sz w:val="20"/>
              </w:rPr>
              <w:t>Capacidad de defensa</w:t>
            </w:r>
          </w:p>
        </w:tc>
        <w:tc>
          <w:tcPr>
            <w:tcW w:type="dxa" w:w="3264"/>
            <w:shd w:val="clear" w:fill="F5F7F5"/>
            <w:shd w:val="clear" w:fill="F5F7F5"/>
          </w:tcPr>
          <w:p>
            <w:r/>
            <w:r>
              <w:rPr>
                <w:rFonts w:ascii="Calibri" w:hAnsi="Calibri"/>
                <w:b w:val="0"/>
                <w:color w:val="2B2B2B"/>
                <w:sz w:val="20"/>
              </w:rPr>
              <w:t>0,1–2,9 · 3,0–3,5 · 3,6–4,5 · 4,6–5,0</w:t>
            </w:r>
          </w:p>
        </w:tc>
        <w:tc>
          <w:tcPr>
            <w:tcW w:type="dxa" w:w="3264"/>
            <w:shd w:val="clear" w:fill="F5F7F5"/>
            <w:shd w:val="clear" w:fill="F5F7F5"/>
          </w:tcPr>
          <w:p>
            <w:r/>
            <w:r>
              <w:rPr>
                <w:rFonts w:ascii="Calibri" w:hAnsi="Calibri"/>
                <w:b w:val="0"/>
                <w:color w:val="2B2B2B"/>
                <w:sz w:val="20"/>
              </w:rPr>
              <w:t>____</w:t>
            </w:r>
          </w:p>
        </w:tc>
      </w:tr>
    </w:tbl>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Un 4,4 en un solo criterio bloquea la meritoria del grupo:</w:t>
      </w:r>
      <w:r>
        <w:rPr>
          <w:rFonts w:ascii="Calibri" w:hAnsi="Calibri"/>
          <w:b w:val="0"/>
          <w:color w:val="2B2B2B"/>
          <w:sz w:val="22"/>
        </w:rPr>
        <w:t xml:space="preserve"> si bajo de 4,5,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